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F855" w14:textId="0AA18C94" w:rsidR="00B01540" w:rsidRPr="00BB2501" w:rsidRDefault="00732D30" w:rsidP="00772C3F">
      <w:pPr>
        <w:jc w:val="center"/>
        <w:rPr>
          <w:b/>
          <w:sz w:val="32"/>
          <w:szCs w:val="32"/>
        </w:rPr>
      </w:pPr>
      <w:r w:rsidRPr="00BB2501">
        <w:rPr>
          <w:b/>
          <w:sz w:val="32"/>
          <w:szCs w:val="32"/>
        </w:rPr>
        <w:t>Stanovisko</w:t>
      </w:r>
      <w:r w:rsidR="00B01540" w:rsidRPr="00BB2501">
        <w:rPr>
          <w:b/>
          <w:sz w:val="32"/>
          <w:szCs w:val="32"/>
        </w:rPr>
        <w:t xml:space="preserve"> </w:t>
      </w:r>
      <w:r w:rsidR="00BD0B33" w:rsidRPr="00BB2501">
        <w:rPr>
          <w:b/>
          <w:sz w:val="32"/>
          <w:szCs w:val="32"/>
        </w:rPr>
        <w:t xml:space="preserve">zdravotnej poisťovne Dôvera </w:t>
      </w:r>
      <w:r w:rsidR="000B0B96" w:rsidRPr="00BB2501">
        <w:rPr>
          <w:b/>
          <w:sz w:val="32"/>
          <w:szCs w:val="32"/>
        </w:rPr>
        <w:t>v súvislosti s</w:t>
      </w:r>
      <w:r w:rsidR="00B01540" w:rsidRPr="00BB2501">
        <w:rPr>
          <w:b/>
          <w:sz w:val="32"/>
          <w:szCs w:val="32"/>
        </w:rPr>
        <w:t xml:space="preserve"> aktuáln</w:t>
      </w:r>
      <w:r w:rsidR="000B0B96" w:rsidRPr="00BB2501">
        <w:rPr>
          <w:b/>
          <w:sz w:val="32"/>
          <w:szCs w:val="32"/>
        </w:rPr>
        <w:t>ou</w:t>
      </w:r>
      <w:r w:rsidR="00B01540" w:rsidRPr="00BB2501">
        <w:rPr>
          <w:b/>
          <w:sz w:val="32"/>
          <w:szCs w:val="32"/>
        </w:rPr>
        <w:t xml:space="preserve"> epidemiologick</w:t>
      </w:r>
      <w:r w:rsidR="000B0B96" w:rsidRPr="00BB2501">
        <w:rPr>
          <w:b/>
          <w:sz w:val="32"/>
          <w:szCs w:val="32"/>
        </w:rPr>
        <w:t>ou situáciou</w:t>
      </w:r>
    </w:p>
    <w:p w14:paraId="0C6BD0E4" w14:textId="77777777" w:rsidR="00772C3F" w:rsidRPr="00BB2501" w:rsidRDefault="00772C3F" w:rsidP="00B01540">
      <w:pPr>
        <w:jc w:val="both"/>
      </w:pPr>
    </w:p>
    <w:p w14:paraId="1F395F8C" w14:textId="77777777" w:rsidR="002E3821" w:rsidRPr="00BB2501" w:rsidRDefault="000B0B96" w:rsidP="00B01540">
      <w:pPr>
        <w:jc w:val="both"/>
      </w:pPr>
      <w:r w:rsidRPr="00BB2501">
        <w:t xml:space="preserve">Zdravie na </w:t>
      </w:r>
      <w:r w:rsidR="00504DAF" w:rsidRPr="00BB2501">
        <w:t xml:space="preserve">prvom mieste nie je pre nás len slogan, ale základná filozofia. Pre poskytovateľov zdravotnej starostlivosti je to dokonca životné poslanie. </w:t>
      </w:r>
      <w:r w:rsidR="00402103" w:rsidRPr="00BB2501">
        <w:t>Ešte silnejšie si to u</w:t>
      </w:r>
      <w:r w:rsidR="00504DAF" w:rsidRPr="00BB2501">
        <w:t>vedomujeme v týchto neľahkých časoch spôsobených pandémiou ochorenia Covid – 19</w:t>
      </w:r>
      <w:r w:rsidR="00EA6249" w:rsidRPr="00BB2501">
        <w:t xml:space="preserve"> a</w:t>
      </w:r>
      <w:r w:rsidR="00402103" w:rsidRPr="00BB2501">
        <w:t xml:space="preserve"> hlboko si vážime obetavosť všetkých lekárov, lekárnikov, zdravotných sestier, záchranárov a ostatných zdravotníckych pracovníkov v prvej línii</w:t>
      </w:r>
      <w:r w:rsidR="00504DAF" w:rsidRPr="00BB2501">
        <w:t xml:space="preserve">.  </w:t>
      </w:r>
    </w:p>
    <w:p w14:paraId="103149A1" w14:textId="77777777" w:rsidR="00BB2501" w:rsidRDefault="00402103" w:rsidP="00B01540">
      <w:pPr>
        <w:jc w:val="both"/>
        <w:rPr>
          <w:rFonts w:cstheme="minorHAnsi"/>
        </w:rPr>
      </w:pPr>
      <w:r w:rsidRPr="00BB2501">
        <w:t xml:space="preserve">V snahe pomôcť im zvládnuť tento boj za čo najmenších strát a komplikácií, rozhodli sme sa </w:t>
      </w:r>
      <w:r w:rsidR="00732D30" w:rsidRPr="00BB2501">
        <w:t>dočasne upraviť postup zdravotnej poisťovne</w:t>
      </w:r>
      <w:r w:rsidRPr="00BB2501">
        <w:t xml:space="preserve"> spojen</w:t>
      </w:r>
      <w:r w:rsidR="00732D30" w:rsidRPr="00BB2501">
        <w:t>ý</w:t>
      </w:r>
      <w:r w:rsidRPr="00BB2501">
        <w:t xml:space="preserve"> nielen s úhradou zdravotnej starostlivosti. </w:t>
      </w:r>
      <w:r w:rsidR="00621FE5" w:rsidRPr="00BB2501">
        <w:t>Ú</w:t>
      </w:r>
      <w:r w:rsidRPr="00BB2501">
        <w:t xml:space="preserve">stretové kroky </w:t>
      </w:r>
      <w:r w:rsidR="00621FE5" w:rsidRPr="00BB2501">
        <w:t xml:space="preserve">robíme </w:t>
      </w:r>
      <w:r w:rsidRPr="00BB2501">
        <w:t xml:space="preserve">aj </w:t>
      </w:r>
      <w:r w:rsidR="00EA6249" w:rsidRPr="00BB2501">
        <w:t xml:space="preserve">voči našim poistencom a </w:t>
      </w:r>
      <w:r w:rsidR="000B0B96" w:rsidRPr="00BB2501">
        <w:rPr>
          <w:rFonts w:cstheme="minorHAnsi"/>
        </w:rPr>
        <w:t>vydávame</w:t>
      </w:r>
      <w:r w:rsidR="00772C3F" w:rsidRPr="00BB2501">
        <w:rPr>
          <w:rFonts w:cstheme="minorHAnsi"/>
        </w:rPr>
        <w:t xml:space="preserve"> s účinnosťou od </w:t>
      </w:r>
      <w:r w:rsidR="00CC4A00" w:rsidRPr="00BB2501">
        <w:rPr>
          <w:rFonts w:cstheme="minorHAnsi"/>
        </w:rPr>
        <w:t>01.04</w:t>
      </w:r>
      <w:r w:rsidR="00772C3F" w:rsidRPr="00BB2501">
        <w:rPr>
          <w:rFonts w:cstheme="minorHAnsi"/>
        </w:rPr>
        <w:t xml:space="preserve">.2020 </w:t>
      </w:r>
      <w:r w:rsidR="000C42EC" w:rsidRPr="00BB2501">
        <w:rPr>
          <w:rFonts w:cstheme="minorHAnsi"/>
        </w:rPr>
        <w:t>do 30. 0</w:t>
      </w:r>
      <w:r w:rsidR="00CC4A00" w:rsidRPr="00BB2501">
        <w:rPr>
          <w:rFonts w:cstheme="minorHAnsi"/>
        </w:rPr>
        <w:t>6</w:t>
      </w:r>
      <w:r w:rsidR="000C42EC" w:rsidRPr="00BB2501">
        <w:rPr>
          <w:rFonts w:cstheme="minorHAnsi"/>
        </w:rPr>
        <w:t>. 2020</w:t>
      </w:r>
      <w:r w:rsidR="005710DD" w:rsidRPr="00BB2501">
        <w:rPr>
          <w:rFonts w:cstheme="minorHAnsi"/>
        </w:rPr>
        <w:t>*</w:t>
      </w:r>
      <w:r w:rsidR="000C42EC" w:rsidRPr="00BB2501">
        <w:rPr>
          <w:rFonts w:cstheme="minorHAnsi"/>
        </w:rPr>
        <w:t xml:space="preserve"> </w:t>
      </w:r>
      <w:r w:rsidR="000B0B96" w:rsidRPr="00BB2501">
        <w:rPr>
          <w:rFonts w:cstheme="minorHAnsi"/>
        </w:rPr>
        <w:t>t</w:t>
      </w:r>
      <w:r w:rsidR="00732D30" w:rsidRPr="00BB2501">
        <w:rPr>
          <w:rFonts w:cstheme="minorHAnsi"/>
        </w:rPr>
        <w:t>oto</w:t>
      </w:r>
      <w:r w:rsidR="00772C3F" w:rsidRPr="00BB2501">
        <w:rPr>
          <w:rFonts w:cstheme="minorHAnsi"/>
        </w:rPr>
        <w:t xml:space="preserve"> </w:t>
      </w:r>
      <w:r w:rsidR="00732D30" w:rsidRPr="00BB2501">
        <w:rPr>
          <w:rFonts w:cstheme="minorHAnsi"/>
        </w:rPr>
        <w:t>stanovisko</w:t>
      </w:r>
      <w:r w:rsidR="00772C3F" w:rsidRPr="00BB2501">
        <w:rPr>
          <w:rFonts w:cstheme="minorHAnsi"/>
        </w:rPr>
        <w:t xml:space="preserve">: </w:t>
      </w:r>
    </w:p>
    <w:p w14:paraId="7713317B" w14:textId="186906A9" w:rsidR="00B01540" w:rsidRPr="00BB2501" w:rsidRDefault="00772C3F" w:rsidP="00B01540">
      <w:pPr>
        <w:jc w:val="both"/>
      </w:pPr>
      <w:r w:rsidRPr="00BB2501">
        <w:t xml:space="preserve"> </w:t>
      </w:r>
    </w:p>
    <w:p w14:paraId="59099B2D" w14:textId="0D9DEB97" w:rsidR="00EA6249" w:rsidRPr="00BB2501" w:rsidRDefault="00EA6249" w:rsidP="00B01540">
      <w:pPr>
        <w:jc w:val="both"/>
        <w:rPr>
          <w:b/>
        </w:rPr>
      </w:pPr>
      <w:r w:rsidRPr="00BB2501">
        <w:rPr>
          <w:b/>
        </w:rPr>
        <w:t xml:space="preserve">1) </w:t>
      </w:r>
      <w:r w:rsidR="00937107" w:rsidRPr="00BB2501">
        <w:rPr>
          <w:b/>
        </w:rPr>
        <w:t>Za</w:t>
      </w:r>
      <w:r w:rsidRPr="00BB2501">
        <w:rPr>
          <w:b/>
        </w:rPr>
        <w:t xml:space="preserve"> telefonické konzultácie </w:t>
      </w:r>
      <w:r w:rsidR="00937107" w:rsidRPr="00BB2501">
        <w:rPr>
          <w:b/>
        </w:rPr>
        <w:t>zaplatíme viac</w:t>
      </w:r>
    </w:p>
    <w:p w14:paraId="609302AF" w14:textId="02014756" w:rsidR="00EA6249" w:rsidRPr="00BB2501" w:rsidRDefault="00EA6249" w:rsidP="00B01540">
      <w:pPr>
        <w:jc w:val="both"/>
      </w:pPr>
      <w:r w:rsidRPr="00BB2501">
        <w:t xml:space="preserve">Keďže najúčinnejším opatrením proti šíreniu nového koronavírusu je obmedzenie pohybu a stretávania sa na minimum, </w:t>
      </w:r>
      <w:r w:rsidR="00FB0018" w:rsidRPr="00BB2501">
        <w:t>veríme</w:t>
      </w:r>
      <w:r w:rsidRPr="00BB2501">
        <w:t>, že formou poskytnutia zdravotnej starostlivosti je aj konzultácia s pacientom na diaľku.</w:t>
      </w:r>
    </w:p>
    <w:p w14:paraId="174B5657" w14:textId="48873684" w:rsidR="00CC4A00" w:rsidRPr="00BB2501" w:rsidRDefault="00CC4A00" w:rsidP="00CC4A00">
      <w:pPr>
        <w:jc w:val="both"/>
      </w:pPr>
      <w:r w:rsidRPr="00BB2501">
        <w:rPr>
          <w:b/>
          <w:bCs/>
        </w:rPr>
        <w:t xml:space="preserve">Nové výkony telemedicíny </w:t>
      </w:r>
    </w:p>
    <w:p w14:paraId="403BFCCE" w14:textId="77777777" w:rsidR="00CC4A00" w:rsidRPr="00BB2501" w:rsidRDefault="00CC4A00" w:rsidP="00CC4A00">
      <w:pPr>
        <w:jc w:val="both"/>
      </w:pPr>
      <w:r w:rsidRPr="00BB2501">
        <w:t xml:space="preserve">• Výkon 1b - Konzultácia prostredníctvom elektronickej pošty alebo telefonicky </w:t>
      </w:r>
    </w:p>
    <w:p w14:paraId="585E4353" w14:textId="77777777" w:rsidR="00CC4A00" w:rsidRPr="00BB2501" w:rsidRDefault="00CC4A00" w:rsidP="00CC4A00">
      <w:pPr>
        <w:jc w:val="both"/>
      </w:pPr>
      <w:r w:rsidRPr="00BB2501">
        <w:t xml:space="preserve">• Výkon 1c – Krízová psychoterapeutická intervencia prostredníctvom elektronickej komunikácie </w:t>
      </w:r>
    </w:p>
    <w:p w14:paraId="3349B4D9" w14:textId="77777777" w:rsidR="00CC4A00" w:rsidRPr="00BB2501" w:rsidRDefault="00CC4A00" w:rsidP="00CC4A00">
      <w:pPr>
        <w:jc w:val="both"/>
      </w:pPr>
      <w:r w:rsidRPr="00BB2501">
        <w:t xml:space="preserve">• Výkon 11a - Konzultácia prostredníctvom rozšírenej elektronickej komunikácie v online prostredí (webová aplikácia, videohovor) </w:t>
      </w:r>
    </w:p>
    <w:p w14:paraId="2DABBFAD" w14:textId="1F3BFA08" w:rsidR="00CC4A00" w:rsidRPr="00BB2501" w:rsidRDefault="00CC4A00" w:rsidP="00CC4A00">
      <w:pPr>
        <w:jc w:val="both"/>
      </w:pPr>
      <w:r w:rsidRPr="00BB2501">
        <w:t xml:space="preserve">• Výkon 70 - Opätovné </w:t>
      </w:r>
      <w:r w:rsidR="00745DB2" w:rsidRPr="00BB2501">
        <w:t xml:space="preserve">lekárske vystavenie receptov </w:t>
      </w:r>
      <w:r w:rsidRPr="00BB2501">
        <w:t xml:space="preserve">alebo poukazov na základe požiadavky pacienta prostredníctvom elektronickej pošty, SMS alebo telefónu </w:t>
      </w:r>
    </w:p>
    <w:tbl>
      <w:tblPr>
        <w:tblStyle w:val="Mriekatabuky"/>
        <w:tblW w:w="0" w:type="auto"/>
        <w:tblLayout w:type="fixed"/>
        <w:tblLook w:val="0000" w:firstRow="0" w:lastRow="0" w:firstColumn="0" w:lastColumn="0" w:noHBand="0" w:noVBand="0"/>
      </w:tblPr>
      <w:tblGrid>
        <w:gridCol w:w="1486"/>
        <w:gridCol w:w="2053"/>
        <w:gridCol w:w="1843"/>
        <w:gridCol w:w="1559"/>
        <w:gridCol w:w="1985"/>
      </w:tblGrid>
      <w:tr w:rsidR="00CC4A00" w:rsidRPr="00BB2501" w14:paraId="5FBCD64B" w14:textId="77777777" w:rsidTr="00CC4A00">
        <w:trPr>
          <w:trHeight w:val="110"/>
        </w:trPr>
        <w:tc>
          <w:tcPr>
            <w:tcW w:w="8926" w:type="dxa"/>
            <w:gridSpan w:val="5"/>
          </w:tcPr>
          <w:p w14:paraId="30E51755" w14:textId="77777777" w:rsidR="00CC4A00" w:rsidRPr="00BB2501" w:rsidRDefault="00CC4A00" w:rsidP="00CC4A00">
            <w:pPr>
              <w:spacing w:after="160" w:line="259" w:lineRule="auto"/>
              <w:jc w:val="both"/>
            </w:pPr>
            <w:r w:rsidRPr="00BB2501">
              <w:rPr>
                <w:b/>
                <w:bCs/>
              </w:rPr>
              <w:t xml:space="preserve">Kód výkonu </w:t>
            </w:r>
          </w:p>
        </w:tc>
      </w:tr>
      <w:tr w:rsidR="00CC4A00" w:rsidRPr="00BB2501" w14:paraId="32AAD3CC" w14:textId="77777777" w:rsidTr="00CC4A00">
        <w:trPr>
          <w:trHeight w:val="126"/>
        </w:trPr>
        <w:tc>
          <w:tcPr>
            <w:tcW w:w="1486" w:type="dxa"/>
          </w:tcPr>
          <w:p w14:paraId="332DF01D" w14:textId="77777777" w:rsidR="00CC4A00" w:rsidRPr="00BB2501" w:rsidRDefault="00CC4A00" w:rsidP="00CC4A00">
            <w:pPr>
              <w:jc w:val="both"/>
              <w:rPr>
                <w:b/>
                <w:bCs/>
              </w:rPr>
            </w:pPr>
          </w:p>
        </w:tc>
        <w:tc>
          <w:tcPr>
            <w:tcW w:w="2053" w:type="dxa"/>
          </w:tcPr>
          <w:p w14:paraId="04615A70" w14:textId="3ECB456F" w:rsidR="00CC4A00" w:rsidRPr="00BB2501" w:rsidRDefault="00CC4A00" w:rsidP="00CC4A00">
            <w:pPr>
              <w:jc w:val="both"/>
              <w:rPr>
                <w:b/>
                <w:bCs/>
              </w:rPr>
            </w:pPr>
            <w:r w:rsidRPr="00BB2501">
              <w:rPr>
                <w:b/>
                <w:bCs/>
              </w:rPr>
              <w:t>1b</w:t>
            </w:r>
          </w:p>
        </w:tc>
        <w:tc>
          <w:tcPr>
            <w:tcW w:w="1843" w:type="dxa"/>
          </w:tcPr>
          <w:p w14:paraId="25D71C42" w14:textId="2D31B329" w:rsidR="00CC4A00" w:rsidRPr="00BB2501" w:rsidRDefault="00CC4A00" w:rsidP="00CC4A00">
            <w:pPr>
              <w:jc w:val="both"/>
              <w:rPr>
                <w:b/>
                <w:bCs/>
              </w:rPr>
            </w:pPr>
            <w:r w:rsidRPr="00BB2501">
              <w:rPr>
                <w:b/>
                <w:bCs/>
              </w:rPr>
              <w:t>1c</w:t>
            </w:r>
          </w:p>
        </w:tc>
        <w:tc>
          <w:tcPr>
            <w:tcW w:w="1559" w:type="dxa"/>
          </w:tcPr>
          <w:p w14:paraId="4863D1D7" w14:textId="1F785299" w:rsidR="00CC4A00" w:rsidRPr="00BB2501" w:rsidRDefault="00CC4A00" w:rsidP="00CC4A00">
            <w:pPr>
              <w:jc w:val="both"/>
              <w:rPr>
                <w:b/>
                <w:bCs/>
              </w:rPr>
            </w:pPr>
            <w:r w:rsidRPr="00BB2501">
              <w:rPr>
                <w:b/>
                <w:bCs/>
              </w:rPr>
              <w:t>11a</w:t>
            </w:r>
          </w:p>
        </w:tc>
        <w:tc>
          <w:tcPr>
            <w:tcW w:w="1985" w:type="dxa"/>
          </w:tcPr>
          <w:p w14:paraId="1FD111F6" w14:textId="34827FFD" w:rsidR="00CC4A00" w:rsidRPr="00BB2501" w:rsidRDefault="00CC4A00" w:rsidP="00CC4A00">
            <w:pPr>
              <w:jc w:val="both"/>
              <w:rPr>
                <w:b/>
                <w:bCs/>
              </w:rPr>
            </w:pPr>
            <w:r w:rsidRPr="00BB2501">
              <w:rPr>
                <w:b/>
                <w:bCs/>
              </w:rPr>
              <w:t>70</w:t>
            </w:r>
          </w:p>
        </w:tc>
      </w:tr>
      <w:tr w:rsidR="00CC4A00" w:rsidRPr="00BB2501" w14:paraId="6328883D" w14:textId="77777777" w:rsidTr="00CC4A00">
        <w:trPr>
          <w:trHeight w:val="126"/>
        </w:trPr>
        <w:tc>
          <w:tcPr>
            <w:tcW w:w="1486" w:type="dxa"/>
          </w:tcPr>
          <w:p w14:paraId="74E4F988" w14:textId="77777777" w:rsidR="00CC4A00" w:rsidRPr="00BB2501" w:rsidRDefault="00CC4A00" w:rsidP="00CC4A00">
            <w:pPr>
              <w:spacing w:after="160" w:line="259" w:lineRule="auto"/>
              <w:jc w:val="both"/>
            </w:pPr>
            <w:r w:rsidRPr="00BB2501">
              <w:rPr>
                <w:b/>
                <w:bCs/>
              </w:rPr>
              <w:t xml:space="preserve">Počet bodov </w:t>
            </w:r>
          </w:p>
        </w:tc>
        <w:tc>
          <w:tcPr>
            <w:tcW w:w="2053" w:type="dxa"/>
          </w:tcPr>
          <w:p w14:paraId="0F45CF58" w14:textId="77777777" w:rsidR="00CC4A00" w:rsidRPr="00BB2501" w:rsidRDefault="00CC4A00" w:rsidP="00CC4A00">
            <w:pPr>
              <w:spacing w:after="160" w:line="259" w:lineRule="auto"/>
              <w:jc w:val="both"/>
            </w:pPr>
            <w:r w:rsidRPr="00BB2501">
              <w:rPr>
                <w:b/>
                <w:bCs/>
              </w:rPr>
              <w:t xml:space="preserve">160 bodov </w:t>
            </w:r>
          </w:p>
        </w:tc>
        <w:tc>
          <w:tcPr>
            <w:tcW w:w="1843" w:type="dxa"/>
          </w:tcPr>
          <w:p w14:paraId="04301D0B" w14:textId="77777777" w:rsidR="00CC4A00" w:rsidRPr="00BB2501" w:rsidRDefault="00CC4A00" w:rsidP="00CC4A00">
            <w:pPr>
              <w:spacing w:after="160" w:line="259" w:lineRule="auto"/>
              <w:jc w:val="both"/>
            </w:pPr>
            <w:r w:rsidRPr="00BB2501">
              <w:rPr>
                <w:b/>
                <w:bCs/>
              </w:rPr>
              <w:t xml:space="preserve">1000 bodov </w:t>
            </w:r>
          </w:p>
        </w:tc>
        <w:tc>
          <w:tcPr>
            <w:tcW w:w="1559" w:type="dxa"/>
          </w:tcPr>
          <w:p w14:paraId="44D6D9B5" w14:textId="77777777" w:rsidR="00CC4A00" w:rsidRPr="00BB2501" w:rsidRDefault="00CC4A00" w:rsidP="00CC4A00">
            <w:pPr>
              <w:spacing w:after="160" w:line="259" w:lineRule="auto"/>
              <w:jc w:val="both"/>
            </w:pPr>
            <w:r w:rsidRPr="00BB2501">
              <w:rPr>
                <w:b/>
                <w:bCs/>
              </w:rPr>
              <w:t xml:space="preserve">210 bodov </w:t>
            </w:r>
          </w:p>
        </w:tc>
        <w:tc>
          <w:tcPr>
            <w:tcW w:w="1985" w:type="dxa"/>
          </w:tcPr>
          <w:p w14:paraId="76D84DAB" w14:textId="6A13AE9E" w:rsidR="00CC4A00" w:rsidRPr="00BB2501" w:rsidRDefault="00CC4A00" w:rsidP="00CC4A00">
            <w:pPr>
              <w:spacing w:after="160" w:line="259" w:lineRule="auto"/>
              <w:jc w:val="both"/>
            </w:pPr>
            <w:r w:rsidRPr="00BB2501">
              <w:rPr>
                <w:b/>
                <w:bCs/>
              </w:rPr>
              <w:t xml:space="preserve">40 bodov </w:t>
            </w:r>
          </w:p>
        </w:tc>
      </w:tr>
      <w:tr w:rsidR="00CC4A00" w:rsidRPr="00BB2501" w14:paraId="26FC03E4" w14:textId="77777777" w:rsidTr="00CC4A00">
        <w:trPr>
          <w:trHeight w:val="125"/>
        </w:trPr>
        <w:tc>
          <w:tcPr>
            <w:tcW w:w="1486" w:type="dxa"/>
          </w:tcPr>
          <w:p w14:paraId="24FF7FED" w14:textId="77777777" w:rsidR="00CC4A00" w:rsidRPr="00BB2501" w:rsidRDefault="00CC4A00" w:rsidP="00CC4A00">
            <w:pPr>
              <w:spacing w:after="160" w:line="259" w:lineRule="auto"/>
              <w:jc w:val="both"/>
            </w:pPr>
            <w:r w:rsidRPr="00BB2501">
              <w:t xml:space="preserve">VLD* </w:t>
            </w:r>
          </w:p>
        </w:tc>
        <w:tc>
          <w:tcPr>
            <w:tcW w:w="2053" w:type="dxa"/>
          </w:tcPr>
          <w:p w14:paraId="78DB72EC" w14:textId="77777777" w:rsidR="00CC4A00" w:rsidRPr="00BB2501" w:rsidRDefault="00CC4A00" w:rsidP="00CC4A00">
            <w:pPr>
              <w:spacing w:after="160" w:line="259" w:lineRule="auto"/>
              <w:jc w:val="both"/>
            </w:pPr>
            <w:r w:rsidRPr="00BB2501">
              <w:t xml:space="preserve">áno </w:t>
            </w:r>
          </w:p>
        </w:tc>
        <w:tc>
          <w:tcPr>
            <w:tcW w:w="1843" w:type="dxa"/>
          </w:tcPr>
          <w:p w14:paraId="15D4C10C" w14:textId="77777777" w:rsidR="00CC4A00" w:rsidRPr="00BB2501" w:rsidRDefault="00CC4A00" w:rsidP="00CC4A00">
            <w:pPr>
              <w:spacing w:after="160" w:line="259" w:lineRule="auto"/>
              <w:jc w:val="both"/>
            </w:pPr>
            <w:r w:rsidRPr="00BB2501">
              <w:t xml:space="preserve">nie </w:t>
            </w:r>
          </w:p>
        </w:tc>
        <w:tc>
          <w:tcPr>
            <w:tcW w:w="1559" w:type="dxa"/>
          </w:tcPr>
          <w:p w14:paraId="1DFE9FD6" w14:textId="77777777" w:rsidR="00CC4A00" w:rsidRPr="00BB2501" w:rsidRDefault="00CC4A00" w:rsidP="00CC4A00">
            <w:pPr>
              <w:spacing w:after="160" w:line="259" w:lineRule="auto"/>
              <w:jc w:val="both"/>
            </w:pPr>
            <w:r w:rsidRPr="00BB2501">
              <w:t xml:space="preserve">áno </w:t>
            </w:r>
          </w:p>
        </w:tc>
        <w:tc>
          <w:tcPr>
            <w:tcW w:w="1985" w:type="dxa"/>
          </w:tcPr>
          <w:p w14:paraId="49323A86" w14:textId="5A1D66AF" w:rsidR="00CC4A00" w:rsidRPr="00BB2501" w:rsidRDefault="00CC4A00" w:rsidP="00CC4A00">
            <w:pPr>
              <w:spacing w:after="160" w:line="259" w:lineRule="auto"/>
              <w:jc w:val="both"/>
            </w:pPr>
            <w:r w:rsidRPr="00BB2501">
              <w:t xml:space="preserve">áno </w:t>
            </w:r>
          </w:p>
        </w:tc>
      </w:tr>
      <w:tr w:rsidR="00CC4A00" w:rsidRPr="00BB2501" w14:paraId="1206A8DC" w14:textId="77777777" w:rsidTr="00CC4A00">
        <w:trPr>
          <w:trHeight w:val="125"/>
        </w:trPr>
        <w:tc>
          <w:tcPr>
            <w:tcW w:w="1486" w:type="dxa"/>
          </w:tcPr>
          <w:p w14:paraId="2D2E1A2C" w14:textId="77777777" w:rsidR="00CC4A00" w:rsidRPr="00BB2501" w:rsidRDefault="00CC4A00" w:rsidP="00CC4A00">
            <w:pPr>
              <w:spacing w:after="160" w:line="259" w:lineRule="auto"/>
              <w:jc w:val="both"/>
            </w:pPr>
            <w:r w:rsidRPr="00BB2501">
              <w:t xml:space="preserve">VLDD* </w:t>
            </w:r>
          </w:p>
        </w:tc>
        <w:tc>
          <w:tcPr>
            <w:tcW w:w="2053" w:type="dxa"/>
          </w:tcPr>
          <w:p w14:paraId="5CAEC361" w14:textId="77777777" w:rsidR="00CC4A00" w:rsidRPr="00BB2501" w:rsidRDefault="00CC4A00" w:rsidP="00CC4A00">
            <w:pPr>
              <w:spacing w:after="160" w:line="259" w:lineRule="auto"/>
              <w:jc w:val="both"/>
            </w:pPr>
            <w:r w:rsidRPr="00BB2501">
              <w:t xml:space="preserve">áno </w:t>
            </w:r>
          </w:p>
        </w:tc>
        <w:tc>
          <w:tcPr>
            <w:tcW w:w="1843" w:type="dxa"/>
          </w:tcPr>
          <w:p w14:paraId="378A3F53" w14:textId="77777777" w:rsidR="00CC4A00" w:rsidRPr="00BB2501" w:rsidRDefault="00CC4A00" w:rsidP="00CC4A00">
            <w:pPr>
              <w:spacing w:after="160" w:line="259" w:lineRule="auto"/>
              <w:jc w:val="both"/>
            </w:pPr>
            <w:r w:rsidRPr="00BB2501">
              <w:t xml:space="preserve">nie </w:t>
            </w:r>
          </w:p>
        </w:tc>
        <w:tc>
          <w:tcPr>
            <w:tcW w:w="1559" w:type="dxa"/>
          </w:tcPr>
          <w:p w14:paraId="4DAC19E2" w14:textId="77777777" w:rsidR="00CC4A00" w:rsidRPr="00BB2501" w:rsidRDefault="00CC4A00" w:rsidP="00CC4A00">
            <w:pPr>
              <w:spacing w:after="160" w:line="259" w:lineRule="auto"/>
              <w:jc w:val="both"/>
            </w:pPr>
            <w:r w:rsidRPr="00BB2501">
              <w:t xml:space="preserve">áno </w:t>
            </w:r>
          </w:p>
        </w:tc>
        <w:tc>
          <w:tcPr>
            <w:tcW w:w="1985" w:type="dxa"/>
          </w:tcPr>
          <w:p w14:paraId="1E99EC30" w14:textId="61BD4DEB" w:rsidR="00CC4A00" w:rsidRPr="00BB2501" w:rsidRDefault="00CC4A00" w:rsidP="00CC4A00">
            <w:pPr>
              <w:spacing w:after="160" w:line="259" w:lineRule="auto"/>
              <w:jc w:val="both"/>
            </w:pPr>
            <w:r w:rsidRPr="00BB2501">
              <w:t xml:space="preserve">áno </w:t>
            </w:r>
          </w:p>
        </w:tc>
      </w:tr>
      <w:tr w:rsidR="00CC4A00" w:rsidRPr="00BB2501" w14:paraId="63A13073" w14:textId="77777777" w:rsidTr="00CC4A00">
        <w:trPr>
          <w:trHeight w:val="125"/>
        </w:trPr>
        <w:tc>
          <w:tcPr>
            <w:tcW w:w="1486" w:type="dxa"/>
          </w:tcPr>
          <w:p w14:paraId="2488B4F9" w14:textId="77777777" w:rsidR="00CC4A00" w:rsidRPr="00BB2501" w:rsidRDefault="00CC4A00" w:rsidP="00CC4A00">
            <w:pPr>
              <w:spacing w:after="160" w:line="259" w:lineRule="auto"/>
              <w:jc w:val="both"/>
            </w:pPr>
            <w:r w:rsidRPr="00BB2501">
              <w:t xml:space="preserve">GYN* </w:t>
            </w:r>
          </w:p>
        </w:tc>
        <w:tc>
          <w:tcPr>
            <w:tcW w:w="2053" w:type="dxa"/>
          </w:tcPr>
          <w:p w14:paraId="2B937F03" w14:textId="77777777" w:rsidR="00CC4A00" w:rsidRPr="00BB2501" w:rsidRDefault="00CC4A00" w:rsidP="00CC4A00">
            <w:pPr>
              <w:spacing w:after="160" w:line="259" w:lineRule="auto"/>
              <w:jc w:val="both"/>
            </w:pPr>
            <w:r w:rsidRPr="00BB2501">
              <w:t xml:space="preserve">áno </w:t>
            </w:r>
          </w:p>
        </w:tc>
        <w:tc>
          <w:tcPr>
            <w:tcW w:w="1843" w:type="dxa"/>
          </w:tcPr>
          <w:p w14:paraId="547C65AA" w14:textId="77777777" w:rsidR="00CC4A00" w:rsidRPr="00BB2501" w:rsidRDefault="00CC4A00" w:rsidP="00CC4A00">
            <w:pPr>
              <w:spacing w:after="160" w:line="259" w:lineRule="auto"/>
              <w:jc w:val="both"/>
            </w:pPr>
            <w:r w:rsidRPr="00BB2501">
              <w:t xml:space="preserve">nie </w:t>
            </w:r>
          </w:p>
        </w:tc>
        <w:tc>
          <w:tcPr>
            <w:tcW w:w="1559" w:type="dxa"/>
          </w:tcPr>
          <w:p w14:paraId="435500DA" w14:textId="77777777" w:rsidR="00CC4A00" w:rsidRPr="00BB2501" w:rsidRDefault="00CC4A00" w:rsidP="00CC4A00">
            <w:pPr>
              <w:spacing w:after="160" w:line="259" w:lineRule="auto"/>
              <w:jc w:val="both"/>
            </w:pPr>
            <w:r w:rsidRPr="00BB2501">
              <w:t xml:space="preserve">áno </w:t>
            </w:r>
          </w:p>
        </w:tc>
        <w:tc>
          <w:tcPr>
            <w:tcW w:w="1985" w:type="dxa"/>
          </w:tcPr>
          <w:p w14:paraId="59606F78" w14:textId="310B1EF6" w:rsidR="00CC4A00" w:rsidRPr="00BB2501" w:rsidRDefault="00CC4A00" w:rsidP="00CC4A00">
            <w:pPr>
              <w:spacing w:after="160" w:line="259" w:lineRule="auto"/>
              <w:jc w:val="both"/>
            </w:pPr>
            <w:r w:rsidRPr="00BB2501">
              <w:t xml:space="preserve">áno </w:t>
            </w:r>
          </w:p>
        </w:tc>
      </w:tr>
      <w:tr w:rsidR="00CC4A00" w:rsidRPr="00BB2501" w14:paraId="22FC567D" w14:textId="77777777" w:rsidTr="00CC4A00">
        <w:trPr>
          <w:trHeight w:val="125"/>
        </w:trPr>
        <w:tc>
          <w:tcPr>
            <w:tcW w:w="1486" w:type="dxa"/>
          </w:tcPr>
          <w:p w14:paraId="39CC8E29" w14:textId="77777777" w:rsidR="00CC4A00" w:rsidRPr="00BB2501" w:rsidRDefault="00CC4A00" w:rsidP="00CC4A00">
            <w:pPr>
              <w:spacing w:after="160" w:line="259" w:lineRule="auto"/>
              <w:jc w:val="both"/>
            </w:pPr>
            <w:r w:rsidRPr="00BB2501">
              <w:t xml:space="preserve">ŠAS </w:t>
            </w:r>
          </w:p>
        </w:tc>
        <w:tc>
          <w:tcPr>
            <w:tcW w:w="2053" w:type="dxa"/>
          </w:tcPr>
          <w:p w14:paraId="77768153" w14:textId="77777777" w:rsidR="00CC4A00" w:rsidRPr="00BB2501" w:rsidRDefault="00CC4A00" w:rsidP="00CC4A00">
            <w:pPr>
              <w:spacing w:after="160" w:line="259" w:lineRule="auto"/>
              <w:jc w:val="both"/>
            </w:pPr>
            <w:r w:rsidRPr="00BB2501">
              <w:t xml:space="preserve">áno </w:t>
            </w:r>
          </w:p>
        </w:tc>
        <w:tc>
          <w:tcPr>
            <w:tcW w:w="1843" w:type="dxa"/>
          </w:tcPr>
          <w:p w14:paraId="184C4378" w14:textId="77777777" w:rsidR="00CC4A00" w:rsidRPr="00BB2501" w:rsidRDefault="00CC4A00" w:rsidP="00CC4A00">
            <w:pPr>
              <w:spacing w:after="160" w:line="259" w:lineRule="auto"/>
              <w:jc w:val="both"/>
            </w:pPr>
            <w:r w:rsidRPr="00BB2501">
              <w:t xml:space="preserve">áno** </w:t>
            </w:r>
          </w:p>
        </w:tc>
        <w:tc>
          <w:tcPr>
            <w:tcW w:w="1559" w:type="dxa"/>
          </w:tcPr>
          <w:p w14:paraId="40C4FEE0" w14:textId="77777777" w:rsidR="00CC4A00" w:rsidRPr="00BB2501" w:rsidRDefault="00CC4A00" w:rsidP="00CC4A00">
            <w:pPr>
              <w:spacing w:after="160" w:line="259" w:lineRule="auto"/>
              <w:jc w:val="both"/>
            </w:pPr>
            <w:r w:rsidRPr="00BB2501">
              <w:t xml:space="preserve">áno </w:t>
            </w:r>
          </w:p>
        </w:tc>
        <w:tc>
          <w:tcPr>
            <w:tcW w:w="1985" w:type="dxa"/>
          </w:tcPr>
          <w:p w14:paraId="2D07E581" w14:textId="3E5F3191" w:rsidR="00CC4A00" w:rsidRPr="00BB2501" w:rsidRDefault="00CC4A00" w:rsidP="00CC4A00">
            <w:pPr>
              <w:spacing w:after="160" w:line="259" w:lineRule="auto"/>
              <w:jc w:val="both"/>
            </w:pPr>
            <w:r w:rsidRPr="00BB2501">
              <w:t xml:space="preserve">áno </w:t>
            </w:r>
          </w:p>
        </w:tc>
      </w:tr>
      <w:tr w:rsidR="00CC4A00" w:rsidRPr="00BB2501" w14:paraId="37A47DA1" w14:textId="77777777" w:rsidTr="00CC4A00">
        <w:trPr>
          <w:trHeight w:val="125"/>
        </w:trPr>
        <w:tc>
          <w:tcPr>
            <w:tcW w:w="1486" w:type="dxa"/>
          </w:tcPr>
          <w:p w14:paraId="458EBDF8" w14:textId="77777777" w:rsidR="00CC4A00" w:rsidRPr="00BB2501" w:rsidRDefault="00CC4A00" w:rsidP="00CC4A00">
            <w:pPr>
              <w:spacing w:after="160" w:line="259" w:lineRule="auto"/>
              <w:jc w:val="both"/>
            </w:pPr>
            <w:r w:rsidRPr="00BB2501">
              <w:t xml:space="preserve">STOM </w:t>
            </w:r>
          </w:p>
        </w:tc>
        <w:tc>
          <w:tcPr>
            <w:tcW w:w="2053" w:type="dxa"/>
          </w:tcPr>
          <w:p w14:paraId="101AB4A7" w14:textId="29A73299" w:rsidR="00CC4A00" w:rsidRPr="00BB2501" w:rsidRDefault="003E70CE" w:rsidP="00CC4A00">
            <w:pPr>
              <w:spacing w:after="160" w:line="259" w:lineRule="auto"/>
              <w:jc w:val="both"/>
            </w:pPr>
            <w:r w:rsidRPr="00BB2501">
              <w:t>á</w:t>
            </w:r>
            <w:r w:rsidR="00CC4A00" w:rsidRPr="00BB2501">
              <w:t>no</w:t>
            </w:r>
            <w:r w:rsidRPr="00BB2501">
              <w:t>***</w:t>
            </w:r>
            <w:r w:rsidR="00CC4A00" w:rsidRPr="00BB2501">
              <w:t xml:space="preserve"> </w:t>
            </w:r>
          </w:p>
        </w:tc>
        <w:tc>
          <w:tcPr>
            <w:tcW w:w="1843" w:type="dxa"/>
          </w:tcPr>
          <w:p w14:paraId="6B91312C" w14:textId="77777777" w:rsidR="00CC4A00" w:rsidRPr="00BB2501" w:rsidRDefault="00CC4A00" w:rsidP="00CC4A00">
            <w:pPr>
              <w:spacing w:after="160" w:line="259" w:lineRule="auto"/>
              <w:jc w:val="both"/>
            </w:pPr>
            <w:r w:rsidRPr="00BB2501">
              <w:t xml:space="preserve">nie </w:t>
            </w:r>
          </w:p>
        </w:tc>
        <w:tc>
          <w:tcPr>
            <w:tcW w:w="1559" w:type="dxa"/>
          </w:tcPr>
          <w:p w14:paraId="3C186244" w14:textId="77777777" w:rsidR="00CC4A00" w:rsidRPr="00BB2501" w:rsidRDefault="00CC4A00" w:rsidP="00CC4A00">
            <w:pPr>
              <w:spacing w:after="160" w:line="259" w:lineRule="auto"/>
              <w:jc w:val="both"/>
            </w:pPr>
            <w:r w:rsidRPr="00BB2501">
              <w:t xml:space="preserve">nie </w:t>
            </w:r>
          </w:p>
        </w:tc>
        <w:tc>
          <w:tcPr>
            <w:tcW w:w="1985" w:type="dxa"/>
          </w:tcPr>
          <w:p w14:paraId="29C64DD4" w14:textId="73C2C724" w:rsidR="00CC4A00" w:rsidRPr="00BB2501" w:rsidRDefault="00CC4A00" w:rsidP="00CC4A00">
            <w:pPr>
              <w:spacing w:after="160" w:line="259" w:lineRule="auto"/>
              <w:jc w:val="both"/>
            </w:pPr>
            <w:r w:rsidRPr="00BB2501">
              <w:t xml:space="preserve">áno </w:t>
            </w:r>
          </w:p>
        </w:tc>
      </w:tr>
      <w:tr w:rsidR="00CC4A00" w:rsidRPr="00BB2501" w14:paraId="594CB117" w14:textId="77777777" w:rsidTr="00CC4A00">
        <w:trPr>
          <w:trHeight w:val="200"/>
        </w:trPr>
        <w:tc>
          <w:tcPr>
            <w:tcW w:w="8926" w:type="dxa"/>
            <w:gridSpan w:val="5"/>
          </w:tcPr>
          <w:p w14:paraId="3C746B7F" w14:textId="77777777" w:rsidR="00CC4A00" w:rsidRPr="00BB2501" w:rsidRDefault="00CC4A00" w:rsidP="00CC4A00">
            <w:pPr>
              <w:spacing w:after="160" w:line="259" w:lineRule="auto"/>
              <w:jc w:val="both"/>
            </w:pPr>
            <w:r w:rsidRPr="00BB2501">
              <w:t xml:space="preserve">*Akceptuje sa u kapitovaných poistencov (nad rámec kapitácie), nekapitovaných poistencov (ak ide o neodkladnú ZS) a poistencov EÚ (ak spĺňajú legislatívne podmienky nároku úhrady ZS u EÚ poistencov). </w:t>
            </w:r>
          </w:p>
        </w:tc>
      </w:tr>
      <w:tr w:rsidR="003E70CE" w:rsidRPr="00BB2501" w14:paraId="51DF8E32" w14:textId="77777777" w:rsidTr="00CC4A00">
        <w:trPr>
          <w:trHeight w:val="200"/>
        </w:trPr>
        <w:tc>
          <w:tcPr>
            <w:tcW w:w="8926" w:type="dxa"/>
            <w:gridSpan w:val="5"/>
          </w:tcPr>
          <w:p w14:paraId="1AB94D84" w14:textId="4D16EAA5" w:rsidR="003E70CE" w:rsidRPr="00BB2501" w:rsidRDefault="003E70CE" w:rsidP="00CC4A00">
            <w:pPr>
              <w:jc w:val="both"/>
            </w:pPr>
            <w:r w:rsidRPr="00BB2501">
              <w:t>**Len u odborností psychiatria, detská psychiatria, gerontopsychiatria a klinická psychológia.</w:t>
            </w:r>
          </w:p>
        </w:tc>
      </w:tr>
      <w:tr w:rsidR="00CC4A00" w:rsidRPr="00BB2501" w14:paraId="27C6F258" w14:textId="77777777" w:rsidTr="00CC4A00">
        <w:trPr>
          <w:trHeight w:val="90"/>
        </w:trPr>
        <w:tc>
          <w:tcPr>
            <w:tcW w:w="8926" w:type="dxa"/>
            <w:gridSpan w:val="5"/>
          </w:tcPr>
          <w:p w14:paraId="6E32A3E8" w14:textId="5C4E74E8" w:rsidR="00CC4A00" w:rsidRPr="00BB2501" w:rsidRDefault="00CC4A00" w:rsidP="003E70CE">
            <w:pPr>
              <w:spacing w:after="160" w:line="259" w:lineRule="auto"/>
              <w:jc w:val="both"/>
            </w:pPr>
            <w:r w:rsidRPr="00BB2501">
              <w:t>**</w:t>
            </w:r>
            <w:r w:rsidR="003E70CE" w:rsidRPr="00BB2501">
              <w:t>* v cene 4,00 €</w:t>
            </w:r>
            <w:r w:rsidRPr="00BB2501">
              <w:t xml:space="preserve"> </w:t>
            </w:r>
          </w:p>
        </w:tc>
      </w:tr>
    </w:tbl>
    <w:p w14:paraId="22B8598A" w14:textId="1C303D6E" w:rsidR="00FB0018" w:rsidRPr="00BB2501" w:rsidRDefault="00FB0018" w:rsidP="00B01540">
      <w:pPr>
        <w:jc w:val="both"/>
      </w:pPr>
      <w:r w:rsidRPr="00BB2501">
        <w:lastRenderedPageBreak/>
        <w:t xml:space="preserve">Podrobnosti o podmienkach vykazovania nových výkonov telemedicíny nájdete </w:t>
      </w:r>
      <w:r w:rsidR="0043415B">
        <w:t>v prílohe tohto stanoviska</w:t>
      </w:r>
      <w:bookmarkStart w:id="0" w:name="_GoBack"/>
      <w:bookmarkEnd w:id="0"/>
      <w:r w:rsidRPr="00BB2501">
        <w:t>.</w:t>
      </w:r>
    </w:p>
    <w:p w14:paraId="686AA87C" w14:textId="5ECE8785" w:rsidR="00FB0018" w:rsidRPr="00BB2501" w:rsidRDefault="00FB0018" w:rsidP="00B01540">
      <w:pPr>
        <w:jc w:val="both"/>
      </w:pPr>
    </w:p>
    <w:p w14:paraId="26383413" w14:textId="0F90845C" w:rsidR="00FB0018" w:rsidRPr="00BB2501" w:rsidRDefault="00FB0018" w:rsidP="00B01540">
      <w:pPr>
        <w:jc w:val="both"/>
        <w:rPr>
          <w:b/>
        </w:rPr>
      </w:pPr>
      <w:r w:rsidRPr="00BB2501">
        <w:rPr>
          <w:b/>
        </w:rPr>
        <w:t>2) Pediatrom umožníme vykazovať preventívne prehliadky</w:t>
      </w:r>
    </w:p>
    <w:p w14:paraId="36326EA7" w14:textId="72535E6D" w:rsidR="00FB0018" w:rsidRPr="00BB2501" w:rsidRDefault="005C3564" w:rsidP="00B01540">
      <w:pPr>
        <w:jc w:val="both"/>
      </w:pPr>
      <w:r w:rsidRPr="00BB2501">
        <w:t xml:space="preserve">Sme si vedomí, že starostlivosť o najmenších musí byť zabezpečená aj počas aktuálnej situácie. Preto sme sa rozhodli, že budeme akceptovať vykazovanie poradní resp. preventívnych prehliadok (výkony 143, 143a, 144, 146, 146a, 950) aj v prípade, ak budú vykonané prostredníctvom telefónu alebo videokonferencie. </w:t>
      </w:r>
    </w:p>
    <w:p w14:paraId="035A69BF" w14:textId="3E977876" w:rsidR="005C3564" w:rsidRPr="00BB2501" w:rsidRDefault="005C3564" w:rsidP="00B01540">
      <w:pPr>
        <w:jc w:val="both"/>
      </w:pPr>
    </w:p>
    <w:p w14:paraId="64044FDA" w14:textId="3CBA900D" w:rsidR="005C3564" w:rsidRPr="00BB2501" w:rsidRDefault="005C3564" w:rsidP="00B01540">
      <w:pPr>
        <w:jc w:val="both"/>
        <w:rPr>
          <w:b/>
        </w:rPr>
      </w:pPr>
      <w:r w:rsidRPr="00BB2501">
        <w:rPr>
          <w:b/>
        </w:rPr>
        <w:t>3) Všeobecným lekárom pre dospelých a pediatrom budeme čiastočne kompenzovať používanie ochranných prostriedkov</w:t>
      </w:r>
    </w:p>
    <w:p w14:paraId="5C3528B3" w14:textId="07AD76DE" w:rsidR="005C3564" w:rsidRPr="00BB2501" w:rsidRDefault="005C3564" w:rsidP="00B01540">
      <w:pPr>
        <w:jc w:val="both"/>
      </w:pPr>
      <w:r w:rsidRPr="00BB2501">
        <w:t xml:space="preserve">Napriek tomu, že sme v rámci našich možností distribuovali ochranné rúška lekárom prvého kontaktu, sme si vedomí zvýšených nákladov na ochranu </w:t>
      </w:r>
      <w:r w:rsidR="00F244BC" w:rsidRPr="00BB2501">
        <w:t>Vášho</w:t>
      </w:r>
      <w:r w:rsidRPr="00BB2501">
        <w:t xml:space="preserve"> zdravia a zdravia Vašich pacientov. Z tohto dôvodu budeme v prechodnom období akceptovať vykazovanie </w:t>
      </w:r>
      <w:r w:rsidR="003E70CE" w:rsidRPr="00BB2501">
        <w:t>príplatku (výkon</w:t>
      </w:r>
      <w:r w:rsidRPr="00BB2501">
        <w:t xml:space="preserve"> č. 64</w:t>
      </w:r>
      <w:r w:rsidR="003E70CE" w:rsidRPr="00BB2501">
        <w:t xml:space="preserve">) pri sťaženom výkone k výkonom 4 a 8 v prípadoch, keď bolo </w:t>
      </w:r>
      <w:r w:rsidR="00F244BC" w:rsidRPr="00BB2501">
        <w:t xml:space="preserve">pri poskytovaní zdravotnej starostlivosti </w:t>
      </w:r>
      <w:r w:rsidR="003E70CE" w:rsidRPr="00BB2501">
        <w:t xml:space="preserve">potrebné </w:t>
      </w:r>
      <w:r w:rsidR="00F244BC" w:rsidRPr="00BB2501">
        <w:t>použitie nadštandardných osobných ochranných prostriedkov.</w:t>
      </w:r>
    </w:p>
    <w:p w14:paraId="545E4E6D" w14:textId="77777777" w:rsidR="003E70CE" w:rsidRPr="00BB2501" w:rsidRDefault="003E70CE" w:rsidP="00B01540">
      <w:pPr>
        <w:jc w:val="both"/>
      </w:pPr>
    </w:p>
    <w:p w14:paraId="3AA08CA1" w14:textId="76E92958" w:rsidR="003E70CE" w:rsidRPr="00BB2501" w:rsidRDefault="003E70CE" w:rsidP="003E70CE">
      <w:pPr>
        <w:jc w:val="both"/>
        <w:rPr>
          <w:b/>
        </w:rPr>
      </w:pPr>
      <w:r w:rsidRPr="00BB2501">
        <w:rPr>
          <w:b/>
        </w:rPr>
        <w:t>4) Starostlivosť poskytovaná agentúrou domácej ošetrovateľskej starostlivosti</w:t>
      </w:r>
    </w:p>
    <w:p w14:paraId="06152782" w14:textId="0AA1DB24" w:rsidR="00FB0018" w:rsidRPr="00BB2501" w:rsidRDefault="00F244BC" w:rsidP="003E70CE">
      <w:pPr>
        <w:jc w:val="both"/>
      </w:pPr>
      <w:r w:rsidRPr="00BB2501">
        <w:t>Počas obdobia, v ktorom je V</w:t>
      </w:r>
      <w:r w:rsidR="003E70CE" w:rsidRPr="00BB2501">
        <w:t>ládou Slovenskej republiky vyhlásená mimoriadna situácia z dôvodu ohrozenia verejného zdravia v súvislosti s ochorením COVID – 19 umožňujeme vykázanie výkonu 3441 (návšteva pacienta v rizikových skupinách populácie) namiesto výkonov 3439 (návšteva v pracovnom čase) a 3440 (Návšteva mimo pracovného času).</w:t>
      </w:r>
    </w:p>
    <w:p w14:paraId="0DA8C39F" w14:textId="1E6566A2" w:rsidR="001A4584" w:rsidRPr="00BB2501" w:rsidRDefault="001A4584" w:rsidP="003E70CE">
      <w:pPr>
        <w:jc w:val="both"/>
      </w:pPr>
    </w:p>
    <w:p w14:paraId="331F0D59" w14:textId="1E2A35F7" w:rsidR="001A4584" w:rsidRPr="00BB2501" w:rsidRDefault="001A4584" w:rsidP="003E70CE">
      <w:pPr>
        <w:jc w:val="both"/>
        <w:rPr>
          <w:b/>
        </w:rPr>
      </w:pPr>
      <w:r w:rsidRPr="00BB2501">
        <w:rPr>
          <w:b/>
        </w:rPr>
        <w:t>5) Poskytovateľom špecializovanej ambulantnej starostlivosti garantujeme príjem</w:t>
      </w:r>
    </w:p>
    <w:p w14:paraId="0592F3C9" w14:textId="5E6D3438" w:rsidR="00CC4A00" w:rsidRPr="00BB2501" w:rsidRDefault="001A4584" w:rsidP="00B01540">
      <w:pPr>
        <w:jc w:val="both"/>
      </w:pPr>
      <w:r w:rsidRPr="00BB2501">
        <w:t>Nakoľko v dôsledku aktuálnej situácie sa pokles príjmov ambulancie dotýka v najväčšej miere špecialistov</w:t>
      </w:r>
      <w:r w:rsidR="00F244BC" w:rsidRPr="00BB2501">
        <w:t>,</w:t>
      </w:r>
      <w:r w:rsidRPr="00BB2501">
        <w:t xml:space="preserve"> rozhodli sme sa do 30.6.2020 garantovať každému poskytovateľovi špecializovanej ambulantnej starostlivosti úhradu minimálne na úrovni 75</w:t>
      </w:r>
      <w:r w:rsidR="00F244BC" w:rsidRPr="00BB2501">
        <w:t xml:space="preserve"> </w:t>
      </w:r>
      <w:r w:rsidRPr="00BB2501">
        <w:t>% priemernej mesačnej úhrady roku 2019.</w:t>
      </w:r>
    </w:p>
    <w:p w14:paraId="03DE04D3" w14:textId="77777777" w:rsidR="001A4584" w:rsidRPr="00BB2501" w:rsidRDefault="001A4584" w:rsidP="00B01540">
      <w:pPr>
        <w:jc w:val="both"/>
      </w:pPr>
    </w:p>
    <w:p w14:paraId="7352095E" w14:textId="3D1C4C65" w:rsidR="000F2AD2" w:rsidRPr="00BB2501" w:rsidRDefault="001A4584" w:rsidP="00B01540">
      <w:pPr>
        <w:jc w:val="both"/>
        <w:rPr>
          <w:b/>
        </w:rPr>
      </w:pPr>
      <w:r w:rsidRPr="00BB2501">
        <w:rPr>
          <w:b/>
        </w:rPr>
        <w:t>6</w:t>
      </w:r>
      <w:r w:rsidR="000F2AD2" w:rsidRPr="00BB2501">
        <w:rPr>
          <w:b/>
        </w:rPr>
        <w:t>) Pri preventívnych prehliadkach zohľadníme epidemiologickú situáciu</w:t>
      </w:r>
    </w:p>
    <w:p w14:paraId="2D3E5FB3" w14:textId="4AC4CB1C" w:rsidR="00B01540" w:rsidRPr="00BB2501" w:rsidRDefault="000F2AD2" w:rsidP="000F2AD2">
      <w:pPr>
        <w:jc w:val="both"/>
      </w:pPr>
      <w:r w:rsidRPr="00BB2501">
        <w:t xml:space="preserve">Rozumieme, že za súčasnej epidemiologickej situácie dochádza </w:t>
      </w:r>
      <w:r w:rsidR="004431B5" w:rsidRPr="00BB2501">
        <w:t>prerušeniu vykonávania</w:t>
      </w:r>
      <w:r w:rsidRPr="00BB2501">
        <w:t xml:space="preserve"> preventívnych prehliadok, čo sa odrazí pri vyhodnocovaní tohto parametra k</w:t>
      </w:r>
      <w:r w:rsidR="00732D30" w:rsidRPr="00BB2501">
        <w:t> 1.7.2020 a</w:t>
      </w:r>
      <w:r w:rsidRPr="00BB2501">
        <w:t> 1.1.2021. Garantujeme všeobecným lekárom pre dospelých, všeobecným lekárom pre deti a dorast i gynekológom, že túto skutočnosť ústretovo zohľadníme tak, aby nemala</w:t>
      </w:r>
      <w:r w:rsidR="00B01540" w:rsidRPr="00BB2501">
        <w:t xml:space="preserve"> nega</w:t>
      </w:r>
      <w:r w:rsidR="00E75D50" w:rsidRPr="00BB2501">
        <w:t>tívny vplyv na príjmy ambulancií</w:t>
      </w:r>
      <w:r w:rsidR="00B01540" w:rsidRPr="00BB2501">
        <w:t xml:space="preserve">. </w:t>
      </w:r>
    </w:p>
    <w:p w14:paraId="4CEA2CDE" w14:textId="77777777" w:rsidR="00B01540" w:rsidRPr="00BB2501" w:rsidRDefault="00B01540" w:rsidP="00B01540">
      <w:pPr>
        <w:jc w:val="both"/>
      </w:pPr>
    </w:p>
    <w:p w14:paraId="4EC82E7E" w14:textId="77D79268" w:rsidR="002C13F3" w:rsidRPr="00BB2501" w:rsidRDefault="001A4584" w:rsidP="00B01540">
      <w:pPr>
        <w:jc w:val="both"/>
        <w:rPr>
          <w:b/>
        </w:rPr>
      </w:pPr>
      <w:r w:rsidRPr="00BB2501">
        <w:rPr>
          <w:b/>
        </w:rPr>
        <w:t>7</w:t>
      </w:r>
      <w:r w:rsidR="002C13F3" w:rsidRPr="00BB2501">
        <w:rPr>
          <w:b/>
        </w:rPr>
        <w:t>) Aj bez výmenného lístka</w:t>
      </w:r>
    </w:p>
    <w:p w14:paraId="70AC7C8D" w14:textId="77777777" w:rsidR="002C13F3" w:rsidRPr="00BB2501" w:rsidRDefault="002C13F3" w:rsidP="002C13F3">
      <w:pPr>
        <w:jc w:val="both"/>
      </w:pPr>
      <w:r w:rsidRPr="00BB2501">
        <w:t xml:space="preserve">Spomaliť šírenie vírusu napomôže aj obmedzenie návštev všeobecného lekára z dôvodu potreby vystavenia výmenného lístka k špecialistovi. Garantujeme preto, že </w:t>
      </w:r>
      <w:r w:rsidR="00772C3F" w:rsidRPr="00BB2501">
        <w:t>š</w:t>
      </w:r>
      <w:r w:rsidR="00E75D50" w:rsidRPr="00BB2501">
        <w:t>pecializovanú ambulantnú</w:t>
      </w:r>
      <w:r w:rsidR="00772C3F" w:rsidRPr="00BB2501">
        <w:t xml:space="preserve"> starostlivosť </w:t>
      </w:r>
      <w:r w:rsidRPr="00BB2501">
        <w:t>podľa § 7 ods. 1 písm. a) bod 3. zákona 576/2004 Z.z. v znení neskorších predpisov  uhradíme aj bez odporúčania všeobecného lekára.</w:t>
      </w:r>
    </w:p>
    <w:p w14:paraId="243312D4" w14:textId="77777777" w:rsidR="00772C3F" w:rsidRPr="00BB2501" w:rsidRDefault="00772C3F" w:rsidP="00B01540">
      <w:pPr>
        <w:jc w:val="both"/>
      </w:pPr>
    </w:p>
    <w:p w14:paraId="56660E2E" w14:textId="734C72B9" w:rsidR="002C13F3" w:rsidRPr="00BB2501" w:rsidRDefault="001A4584" w:rsidP="00B01540">
      <w:pPr>
        <w:jc w:val="both"/>
        <w:rPr>
          <w:b/>
        </w:rPr>
      </w:pPr>
      <w:r w:rsidRPr="00BB2501">
        <w:rPr>
          <w:b/>
        </w:rPr>
        <w:t>8</w:t>
      </w:r>
      <w:r w:rsidR="002C13F3" w:rsidRPr="00BB2501">
        <w:rPr>
          <w:b/>
        </w:rPr>
        <w:t>) V ústrety pacientom i lekárnikom</w:t>
      </w:r>
    </w:p>
    <w:p w14:paraId="243AD946" w14:textId="77777777" w:rsidR="0008417C" w:rsidRPr="00BB2501" w:rsidRDefault="0008417C" w:rsidP="002C13F3">
      <w:pPr>
        <w:jc w:val="both"/>
      </w:pPr>
      <w:r w:rsidRPr="00BB2501">
        <w:t xml:space="preserve">Mnohí naši poistenci sú odkázaní na lieky, ktoré im môže predpísať iba lekár špecialista. Aby sme </w:t>
      </w:r>
      <w:r w:rsidR="005D732B" w:rsidRPr="00BB2501">
        <w:t>pacientov</w:t>
      </w:r>
      <w:r w:rsidRPr="00BB2501">
        <w:t xml:space="preserve"> nevystavovali </w:t>
      </w:r>
      <w:r w:rsidR="005D732B" w:rsidRPr="00BB2501">
        <w:t>riziku nakazenia pohybom po vonku</w:t>
      </w:r>
      <w:r w:rsidRPr="00BB2501">
        <w:t>,</w:t>
      </w:r>
      <w:r w:rsidR="005D732B" w:rsidRPr="00BB2501">
        <w:t xml:space="preserve"> umožníme, aby im lieky mohli predpísať aj všeobecní lekári a to formou eReceptu bez potreby návštevy ambulancie.</w:t>
      </w:r>
      <w:r w:rsidRPr="00BB2501">
        <w:t xml:space="preserve">  </w:t>
      </w:r>
    </w:p>
    <w:p w14:paraId="00AE0EC0" w14:textId="77777777" w:rsidR="003A7722" w:rsidRPr="00BB2501" w:rsidRDefault="005D732B" w:rsidP="00772C3F">
      <w:pPr>
        <w:jc w:val="both"/>
      </w:pPr>
      <w:r w:rsidRPr="00BB2501">
        <w:t>Preto v</w:t>
      </w:r>
      <w:r w:rsidR="00772C3F" w:rsidRPr="00BB2501">
        <w:t xml:space="preserve"> prípade, </w:t>
      </w:r>
      <w:r w:rsidR="00296A3E" w:rsidRPr="00BB2501">
        <w:t>že</w:t>
      </w:r>
      <w:r w:rsidR="00772C3F" w:rsidRPr="00BB2501">
        <w:t xml:space="preserve"> verejná lekáreň alebo výdajňa zdravotníckych pomôcok vydá liek, zdravotnícku pomôcku alebo dietetickú potravinu na základe preskripčného záznamu, lekárskeho predpisu alebo lekárskeho poukazu, ktorého predpísaním všeobecný lekár pre dospelých alebo všeobecný lekár pre deti a dorast porušil povinnosť dodržiavať preskripčné a indikačné obmedzenia,</w:t>
      </w:r>
      <w:r w:rsidR="002C1E46" w:rsidRPr="00BB2501">
        <w:t xml:space="preserve"> </w:t>
      </w:r>
      <w:r w:rsidR="00772C3F" w:rsidRPr="00BB2501">
        <w:t>zdravotnú starostlivosť poskytovateľovi lekárenskej starostlivosti</w:t>
      </w:r>
      <w:r w:rsidR="002C1E46" w:rsidRPr="00BB2501">
        <w:t xml:space="preserve"> napriek tomu uhradíme</w:t>
      </w:r>
      <w:r w:rsidR="00772C3F" w:rsidRPr="00BB2501">
        <w:t xml:space="preserve"> a nebude</w:t>
      </w:r>
      <w:r w:rsidR="002C1E46" w:rsidRPr="00BB2501">
        <w:t>me</w:t>
      </w:r>
      <w:r w:rsidR="00772C3F" w:rsidRPr="00BB2501">
        <w:t xml:space="preserve"> si uplatňovať náhradu plnenia voči predpisujúcemu lekárovi  prvého kontaktu. </w:t>
      </w:r>
    </w:p>
    <w:p w14:paraId="307897B2" w14:textId="77777777" w:rsidR="00AC3587" w:rsidRPr="00BB2501" w:rsidRDefault="00AC3587" w:rsidP="00772C3F">
      <w:pPr>
        <w:jc w:val="both"/>
      </w:pPr>
    </w:p>
    <w:p w14:paraId="1D604722" w14:textId="2DA17BC5" w:rsidR="00C97D10" w:rsidRPr="00BB2501" w:rsidRDefault="001A4584" w:rsidP="00C97D10">
      <w:pPr>
        <w:jc w:val="both"/>
        <w:rPr>
          <w:b/>
        </w:rPr>
      </w:pPr>
      <w:r w:rsidRPr="00BB2501">
        <w:rPr>
          <w:b/>
        </w:rPr>
        <w:t>9</w:t>
      </w:r>
      <w:r w:rsidR="0041364D" w:rsidRPr="00BB2501">
        <w:rPr>
          <w:b/>
        </w:rPr>
        <w:t>) Predlžujeme platnosť l</w:t>
      </w:r>
      <w:r w:rsidR="006F31E0" w:rsidRPr="00BB2501">
        <w:rPr>
          <w:b/>
        </w:rPr>
        <w:t>ekársk</w:t>
      </w:r>
      <w:r w:rsidR="0041364D" w:rsidRPr="00BB2501">
        <w:rPr>
          <w:b/>
        </w:rPr>
        <w:t>ych</w:t>
      </w:r>
      <w:r w:rsidR="006F31E0" w:rsidRPr="00BB2501">
        <w:rPr>
          <w:b/>
        </w:rPr>
        <w:t xml:space="preserve"> poukaz</w:t>
      </w:r>
      <w:r w:rsidR="0041364D" w:rsidRPr="00BB2501">
        <w:rPr>
          <w:b/>
        </w:rPr>
        <w:t>ov</w:t>
      </w:r>
    </w:p>
    <w:p w14:paraId="11959C90" w14:textId="74A4034D" w:rsidR="00BE667A" w:rsidRPr="00BB2501" w:rsidRDefault="006F31E0" w:rsidP="00BE667A">
      <w:pPr>
        <w:jc w:val="both"/>
      </w:pPr>
      <w:r w:rsidRPr="00BB2501">
        <w:t xml:space="preserve">Platnosť lekárskych poukazov </w:t>
      </w:r>
      <w:r w:rsidR="00BE667A" w:rsidRPr="00BB2501">
        <w:t xml:space="preserve">na zdravotnícke pomôcky </w:t>
      </w:r>
      <w:r w:rsidRPr="00BB2501">
        <w:t>p</w:t>
      </w:r>
      <w:r w:rsidR="00EB7855" w:rsidRPr="00BB2501">
        <w:t>redlžujeme z pôvodných 30 dní</w:t>
      </w:r>
      <w:r w:rsidRPr="00BB2501">
        <w:t xml:space="preserve"> na 60 dní od dátumu ich vystavenia.</w:t>
      </w:r>
      <w:r w:rsidR="00A5373B" w:rsidRPr="00BB2501">
        <w:t xml:space="preserve"> </w:t>
      </w:r>
      <w:r w:rsidR="00EB7855" w:rsidRPr="00BB2501">
        <w:t xml:space="preserve">Pri individuálne zhotovených zdravotníckych pomôckach môže byť predĺženie platnosti až o 90 dní. </w:t>
      </w:r>
      <w:r w:rsidR="00BE667A" w:rsidRPr="00BB2501">
        <w:t>A</w:t>
      </w:r>
      <w:r w:rsidR="00EB7855" w:rsidRPr="00BB2501">
        <w:t> to vtedy, keď si</w:t>
      </w:r>
      <w:r w:rsidR="00BE667A" w:rsidRPr="00BB2501">
        <w:t xml:space="preserve"> výdajňa lekársky poukaz pre individuálne zhotovené zdravotné pomôcky</w:t>
      </w:r>
      <w:r w:rsidR="00EB7855" w:rsidRPr="00BB2501">
        <w:t xml:space="preserve"> zablokuje. P</w:t>
      </w:r>
      <w:r w:rsidR="00BE667A" w:rsidRPr="00BB2501">
        <w:t xml:space="preserve">latnosť tohto poukazu sa v danej výdajni </w:t>
      </w:r>
      <w:r w:rsidR="00EB7855" w:rsidRPr="00BB2501">
        <w:t>predĺži</w:t>
      </w:r>
      <w:r w:rsidR="00BE667A" w:rsidRPr="00BB2501">
        <w:t xml:space="preserve"> o 90 dní.</w:t>
      </w:r>
    </w:p>
    <w:p w14:paraId="33A3FACC" w14:textId="77777777" w:rsidR="00C97D10" w:rsidRPr="00BB2501" w:rsidRDefault="00BE667A" w:rsidP="00C97D10">
      <w:pPr>
        <w:jc w:val="both"/>
      </w:pPr>
      <w:r w:rsidRPr="00BB2501">
        <w:t>Poukazy p</w:t>
      </w:r>
      <w:r w:rsidR="00A5373B" w:rsidRPr="00BB2501">
        <w:t>o spracovaní a schválení b</w:t>
      </w:r>
      <w:r w:rsidR="009F5ECB" w:rsidRPr="00BB2501">
        <w:t xml:space="preserve">udeme </w:t>
      </w:r>
      <w:r w:rsidR="00A5373B" w:rsidRPr="00BB2501">
        <w:t xml:space="preserve">poistencom </w:t>
      </w:r>
      <w:r w:rsidR="006F31E0" w:rsidRPr="00BB2501">
        <w:t>po</w:t>
      </w:r>
      <w:r w:rsidR="009F5ECB" w:rsidRPr="00BB2501">
        <w:t>sielať</w:t>
      </w:r>
      <w:r w:rsidR="00A5373B" w:rsidRPr="00BB2501">
        <w:t xml:space="preserve"> </w:t>
      </w:r>
      <w:r w:rsidR="00C97D10" w:rsidRPr="00BB2501">
        <w:t>poštou</w:t>
      </w:r>
      <w:r w:rsidRPr="00BB2501">
        <w:t>, pričom každého p</w:t>
      </w:r>
      <w:r w:rsidR="009F5ECB" w:rsidRPr="00BB2501">
        <w:t>oistenca na to vopred telefonicky upozorníme</w:t>
      </w:r>
      <w:r w:rsidR="00C97D10" w:rsidRPr="00BB2501">
        <w:t>.</w:t>
      </w:r>
    </w:p>
    <w:p w14:paraId="34D921F7" w14:textId="77777777" w:rsidR="00C97D10" w:rsidRPr="00BB2501" w:rsidRDefault="009F5ECB" w:rsidP="00C97D10">
      <w:pPr>
        <w:jc w:val="both"/>
      </w:pPr>
      <w:r w:rsidRPr="00BB2501">
        <w:t xml:space="preserve">V prípade, že bude potrebné do poukazu doplniť údaje, tiež na to poistenca upozorníme telefonicky a následne aj listom.  Rovnako budeme postupovať aj pri neschválení poukazu. </w:t>
      </w:r>
    </w:p>
    <w:p w14:paraId="08F8C542" w14:textId="77777777" w:rsidR="00C97D10" w:rsidRPr="00BB2501" w:rsidRDefault="00937D29" w:rsidP="00C97D10">
      <w:pPr>
        <w:jc w:val="both"/>
      </w:pPr>
      <w:r w:rsidRPr="00BB2501">
        <w:t>Keďže sme z dôvodu ochrany zdravia našich poistencov i zamestnancov zatvorili naše pobočky, p</w:t>
      </w:r>
      <w:r w:rsidR="009F5ECB" w:rsidRPr="00BB2501">
        <w:t>oistenc</w:t>
      </w:r>
      <w:r w:rsidRPr="00BB2501">
        <w:t xml:space="preserve">i, </w:t>
      </w:r>
      <w:r w:rsidR="009F5ECB" w:rsidRPr="00BB2501">
        <w:t>ktorí</w:t>
      </w:r>
      <w:r w:rsidR="00C97D10" w:rsidRPr="00BB2501">
        <w:t xml:space="preserve"> nestihl</w:t>
      </w:r>
      <w:r w:rsidR="009F5ECB" w:rsidRPr="00BB2501">
        <w:t>i</w:t>
      </w:r>
      <w:r w:rsidR="00C97D10" w:rsidRPr="00BB2501">
        <w:t xml:space="preserve"> </w:t>
      </w:r>
      <w:r w:rsidR="009F5ECB" w:rsidRPr="00BB2501">
        <w:t>podať svoj lekársky poukaz v pobočkách</w:t>
      </w:r>
      <w:r w:rsidR="00C97D10" w:rsidRPr="00BB2501">
        <w:t>, môž</w:t>
      </w:r>
      <w:r w:rsidR="005710DD" w:rsidRPr="00BB2501">
        <w:t>u</w:t>
      </w:r>
      <w:r w:rsidRPr="00BB2501">
        <w:t xml:space="preserve"> ho</w:t>
      </w:r>
      <w:r w:rsidR="00C97D10" w:rsidRPr="00BB2501">
        <w:t xml:space="preserve"> vhodiť do schránky najbližšej pobočky alebo ho poslať poštou výlučne na kontaktnú adresu Dôvera zdravotná poisťovňa, Cintorínska 5, 949 01 Nitra. Schránky s</w:t>
      </w:r>
      <w:r w:rsidR="005710DD" w:rsidRPr="00BB2501">
        <w:t>me umiestnili ku</w:t>
      </w:r>
      <w:r w:rsidR="00C97D10" w:rsidRPr="00BB2501">
        <w:t xml:space="preserve"> každej pobo</w:t>
      </w:r>
      <w:r w:rsidR="006F31E0" w:rsidRPr="00BB2501">
        <w:t>čke alebo</w:t>
      </w:r>
      <w:r w:rsidR="005710DD" w:rsidRPr="00BB2501">
        <w:t xml:space="preserve"> sú</w:t>
      </w:r>
      <w:r w:rsidR="006F31E0" w:rsidRPr="00BB2501">
        <w:t xml:space="preserve"> v </w:t>
      </w:r>
      <w:r w:rsidR="005710DD" w:rsidRPr="00BB2501">
        <w:t>ich</w:t>
      </w:r>
      <w:r w:rsidR="006F31E0" w:rsidRPr="00BB2501">
        <w:t xml:space="preserve"> blízkom okolí. </w:t>
      </w:r>
      <w:r w:rsidR="00C97D10" w:rsidRPr="00BB2501">
        <w:tab/>
      </w:r>
    </w:p>
    <w:p w14:paraId="4AB41981" w14:textId="77777777" w:rsidR="00AC3587" w:rsidRPr="00BB2501" w:rsidRDefault="00AC3587" w:rsidP="00772C3F">
      <w:pPr>
        <w:jc w:val="both"/>
      </w:pPr>
    </w:p>
    <w:p w14:paraId="7A43459C" w14:textId="5B43BF44" w:rsidR="00BE667A" w:rsidRPr="00BB2501" w:rsidRDefault="00937D29" w:rsidP="00772C3F">
      <w:pPr>
        <w:jc w:val="both"/>
      </w:pPr>
      <w:r w:rsidRPr="00BB2501">
        <w:t>V prípade, že si epidemiologická situácia vyžiada ďalšie zmeny súvisiace so schvaľovaním a úhradou zdravotnej starostlivosti alebo v </w:t>
      </w:r>
      <w:r w:rsidR="00DF30A2" w:rsidRPr="00BB2501">
        <w:t>ostatný</w:t>
      </w:r>
      <w:r w:rsidRPr="00BB2501">
        <w:t xml:space="preserve">ch oblastiach našich služieb, sme pripravení opäť zareagovať. Ďakujeme </w:t>
      </w:r>
      <w:r w:rsidR="00DF30A2" w:rsidRPr="00BB2501">
        <w:t>všetkým poskytovateľom za starostlivosť o našich poistencov a všetkým našim poistencom, ktorí sa k aktuálnej situácii postavili zodpovedne. Sme s Vami na ceste za zdravím...</w:t>
      </w:r>
    </w:p>
    <w:p w14:paraId="01D26ECE" w14:textId="77777777" w:rsidR="002C1E46" w:rsidRPr="00BB2501" w:rsidRDefault="002C1E46" w:rsidP="00772C3F">
      <w:pPr>
        <w:jc w:val="both"/>
      </w:pPr>
    </w:p>
    <w:p w14:paraId="00F19581" w14:textId="77777777" w:rsidR="002C1E46" w:rsidRPr="00BB2501" w:rsidRDefault="002C1E46" w:rsidP="002C1E46">
      <w:pPr>
        <w:jc w:val="both"/>
      </w:pPr>
      <w:r w:rsidRPr="00BB2501">
        <w:t>DÔVERA zdravotná poisťovňa, a. s.</w:t>
      </w:r>
    </w:p>
    <w:p w14:paraId="4F011FFA" w14:textId="77777777" w:rsidR="002C1E46" w:rsidRPr="00BB2501" w:rsidRDefault="002C1E46" w:rsidP="002C1E46">
      <w:pPr>
        <w:jc w:val="both"/>
      </w:pPr>
      <w:r w:rsidRPr="00BB2501">
        <w:t>Generálne riaditeľstvo</w:t>
      </w:r>
    </w:p>
    <w:p w14:paraId="79348770" w14:textId="77777777" w:rsidR="002C1E46" w:rsidRPr="00BB2501" w:rsidRDefault="002C1E46" w:rsidP="002C1E46">
      <w:pPr>
        <w:jc w:val="both"/>
      </w:pPr>
      <w:r w:rsidRPr="00BB2501">
        <w:t>Einsteinova 25</w:t>
      </w:r>
    </w:p>
    <w:p w14:paraId="6F3CC7AD" w14:textId="77777777" w:rsidR="002C1E46" w:rsidRPr="00BB2501" w:rsidRDefault="002C1E46" w:rsidP="002C1E46">
      <w:pPr>
        <w:jc w:val="both"/>
      </w:pPr>
      <w:r w:rsidRPr="00BB2501">
        <w:t>851 01 Bratislava</w:t>
      </w:r>
    </w:p>
    <w:p w14:paraId="09C51895" w14:textId="33C96357" w:rsidR="005710DD" w:rsidRPr="00BB2501" w:rsidRDefault="005710DD" w:rsidP="002C1E46">
      <w:pPr>
        <w:jc w:val="both"/>
      </w:pPr>
    </w:p>
    <w:p w14:paraId="4FF4E0AA" w14:textId="5E52E840" w:rsidR="00621FE5" w:rsidRPr="00BB2501" w:rsidRDefault="00621FE5" w:rsidP="002C1E46">
      <w:pPr>
        <w:jc w:val="both"/>
      </w:pPr>
      <w:r w:rsidRPr="00BB2501">
        <w:t xml:space="preserve">*Platnosť </w:t>
      </w:r>
      <w:r w:rsidR="00C83956" w:rsidRPr="00BB2501">
        <w:t>nášho stanoviska</w:t>
      </w:r>
      <w:r w:rsidR="008430A6" w:rsidRPr="00BB2501">
        <w:t xml:space="preserve"> </w:t>
      </w:r>
      <w:r w:rsidRPr="00BB2501">
        <w:t>sa môže predĺžiť v závislosti od vývoja aktuálnej epidemiologickej situácie.</w:t>
      </w:r>
      <w:r w:rsidR="008430A6" w:rsidRPr="00BB2501">
        <w:t xml:space="preserve"> </w:t>
      </w:r>
      <w:r w:rsidR="00E30236" w:rsidRPr="00BB2501">
        <w:t xml:space="preserve">Takisto si vyhradzujeme </w:t>
      </w:r>
      <w:r w:rsidR="008430A6" w:rsidRPr="00BB2501">
        <w:t xml:space="preserve">právo naše stanovisko </w:t>
      </w:r>
      <w:r w:rsidR="00E30236" w:rsidRPr="00BB2501">
        <w:t xml:space="preserve">podľa aktuálne situácie </w:t>
      </w:r>
      <w:r w:rsidR="008430A6" w:rsidRPr="00BB2501">
        <w:t>zmeniť alebo doplniť</w:t>
      </w:r>
      <w:r w:rsidR="00E30236" w:rsidRPr="00BB2501">
        <w:t>.</w:t>
      </w:r>
    </w:p>
    <w:p w14:paraId="2DA4CD19" w14:textId="265CF680" w:rsidR="003E70CE" w:rsidRPr="00BB2501" w:rsidRDefault="003E70CE" w:rsidP="002C1E46">
      <w:pPr>
        <w:jc w:val="both"/>
      </w:pPr>
    </w:p>
    <w:p w14:paraId="3AE664B9" w14:textId="610F35CD" w:rsidR="003E70CE" w:rsidRDefault="003E70CE" w:rsidP="002C1E46">
      <w:pPr>
        <w:jc w:val="both"/>
      </w:pPr>
    </w:p>
    <w:p w14:paraId="1F8FDACF" w14:textId="4C5DDCD1" w:rsidR="0043415B" w:rsidRDefault="0043415B" w:rsidP="0043415B">
      <w:pPr>
        <w:jc w:val="right"/>
      </w:pPr>
      <w:r>
        <w:t>Príloha</w:t>
      </w:r>
    </w:p>
    <w:p w14:paraId="6D615452" w14:textId="2A5726A0" w:rsidR="003E70CE" w:rsidRPr="00BB2501" w:rsidRDefault="003E70CE" w:rsidP="003E70CE">
      <w:pPr>
        <w:jc w:val="center"/>
        <w:rPr>
          <w:rFonts w:cstheme="minorHAnsi"/>
          <w:b/>
        </w:rPr>
      </w:pPr>
      <w:r w:rsidRPr="00BB2501">
        <w:rPr>
          <w:rFonts w:cstheme="minorHAnsi"/>
          <w:b/>
        </w:rPr>
        <w:t>Výkony telemedicíny</w:t>
      </w:r>
    </w:p>
    <w:p w14:paraId="17C4F334" w14:textId="77777777" w:rsidR="003E70CE" w:rsidRPr="00BB2501" w:rsidRDefault="003E70CE" w:rsidP="003E70CE">
      <w:pPr>
        <w:jc w:val="both"/>
        <w:rPr>
          <w:rFonts w:cstheme="minorHAnsi"/>
          <w:b/>
        </w:rPr>
      </w:pPr>
    </w:p>
    <w:p w14:paraId="19E0EAE5" w14:textId="49ECAD66" w:rsidR="003E70CE" w:rsidRPr="00BB2501" w:rsidRDefault="003E70CE" w:rsidP="003E70CE">
      <w:pPr>
        <w:jc w:val="both"/>
        <w:rPr>
          <w:rFonts w:cstheme="minorHAnsi"/>
          <w:b/>
        </w:rPr>
      </w:pPr>
      <w:r w:rsidRPr="00BB2501">
        <w:rPr>
          <w:rFonts w:cstheme="minorHAnsi"/>
          <w:b/>
        </w:rPr>
        <w:t>1b - Konzultácia prostredníctvom elektronickej pošty, SMS alebo telefonicky</w:t>
      </w:r>
    </w:p>
    <w:p w14:paraId="64A0035E" w14:textId="77777777" w:rsidR="003E70CE" w:rsidRPr="00BB2501" w:rsidRDefault="003E70CE" w:rsidP="003E70CE">
      <w:pPr>
        <w:jc w:val="both"/>
        <w:rPr>
          <w:rFonts w:cstheme="minorHAnsi"/>
          <w:u w:val="single"/>
        </w:rPr>
      </w:pPr>
      <w:r w:rsidRPr="00BB2501">
        <w:rPr>
          <w:rFonts w:cstheme="minorHAnsi"/>
          <w:u w:val="single"/>
        </w:rPr>
        <w:t xml:space="preserve">Popis výkonu (ďalej len „výkon“): </w:t>
      </w:r>
    </w:p>
    <w:p w14:paraId="69AE257B" w14:textId="77777777" w:rsidR="003E70CE" w:rsidRPr="00BB2501" w:rsidRDefault="003E70CE" w:rsidP="003E70CE">
      <w:pPr>
        <w:jc w:val="both"/>
        <w:rPr>
          <w:rFonts w:cstheme="minorHAnsi"/>
        </w:rPr>
      </w:pPr>
      <w:r w:rsidRPr="00BB2501">
        <w:rPr>
          <w:rFonts w:cstheme="minorHAnsi"/>
        </w:rPr>
        <w:t>Konzultácia s pacientom prostredníctvom elektronickej pošty, SMS alebo telefonicky obsahuje:</w:t>
      </w:r>
    </w:p>
    <w:p w14:paraId="58E0D4F2"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cielenú anamnézu, resp. anamnézu od poslednej  kontroly, vo vzťahu k jednému orgánovému systému </w:t>
      </w:r>
    </w:p>
    <w:p w14:paraId="44562C05"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popis subjektívnych ťažkostí,  </w:t>
      </w:r>
    </w:p>
    <w:p w14:paraId="38E38911"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diagnostický záver, </w:t>
      </w:r>
    </w:p>
    <w:p w14:paraId="0C0E356F"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poučenie o diéte a životospráve, </w:t>
      </w:r>
    </w:p>
    <w:p w14:paraId="18249827"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v prípade potreby určenie dátumu ďalšej konzultácie alebo kontroly, vrátane predpisu potrebných liekov/ZP, ktoré vyplynuli z konzultácie ohľadom zdravotného stavu </w:t>
      </w:r>
    </w:p>
    <w:p w14:paraId="4EEDC5D1" w14:textId="77777777" w:rsidR="003E70CE" w:rsidRPr="00BB2501" w:rsidRDefault="003E70CE" w:rsidP="003E70CE">
      <w:pPr>
        <w:pStyle w:val="Odsekzoznamu"/>
        <w:numPr>
          <w:ilvl w:val="0"/>
          <w:numId w:val="3"/>
        </w:numPr>
        <w:jc w:val="both"/>
        <w:rPr>
          <w:rFonts w:cstheme="minorHAnsi"/>
        </w:rPr>
      </w:pPr>
      <w:r w:rsidRPr="00BB2501">
        <w:rPr>
          <w:rFonts w:cstheme="minorHAnsi"/>
        </w:rPr>
        <w:t>prípadne záznam o odporučení neodkladnej návštevy iného lekára</w:t>
      </w:r>
    </w:p>
    <w:p w14:paraId="12CABEDE"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poskytnutie informácií pacientovi alebo zákonnému zástupcovi v súvislosti so zdravotným stavom s diagnostickým alebo liečebným postupom vrátane farmakoterapie </w:t>
      </w:r>
    </w:p>
    <w:p w14:paraId="0708F942" w14:textId="77777777" w:rsidR="003E70CE" w:rsidRPr="00BB2501" w:rsidRDefault="003E70CE" w:rsidP="003E70CE">
      <w:pPr>
        <w:pStyle w:val="Odsekzoznamu"/>
        <w:numPr>
          <w:ilvl w:val="0"/>
          <w:numId w:val="3"/>
        </w:numPr>
        <w:jc w:val="both"/>
        <w:rPr>
          <w:rFonts w:cstheme="minorHAnsi"/>
        </w:rPr>
      </w:pPr>
    </w:p>
    <w:p w14:paraId="7E4F0BB3" w14:textId="77777777" w:rsidR="003E70CE" w:rsidRPr="00BB2501" w:rsidRDefault="003E70CE" w:rsidP="003E70CE">
      <w:pPr>
        <w:jc w:val="both"/>
        <w:rPr>
          <w:rFonts w:cstheme="minorHAnsi"/>
          <w:u w:val="single"/>
        </w:rPr>
      </w:pPr>
      <w:r w:rsidRPr="00BB2501">
        <w:rPr>
          <w:rFonts w:cstheme="minorHAnsi"/>
          <w:u w:val="single"/>
        </w:rPr>
        <w:t>Vykazovanie výkonu:</w:t>
      </w:r>
    </w:p>
    <w:p w14:paraId="3980D11B"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výkon  sa vykazuje ako zdravotná starostlivosť bez fyzikálneho vyšetrenia  pacienta. </w:t>
      </w:r>
    </w:p>
    <w:p w14:paraId="1DE2D50C" w14:textId="77777777" w:rsidR="003E70CE" w:rsidRPr="00BB2501" w:rsidRDefault="003E70CE" w:rsidP="003E70CE">
      <w:pPr>
        <w:pStyle w:val="Odsekzoznamu"/>
        <w:numPr>
          <w:ilvl w:val="0"/>
          <w:numId w:val="4"/>
        </w:numPr>
        <w:jc w:val="both"/>
        <w:rPr>
          <w:rFonts w:cstheme="minorHAnsi"/>
        </w:rPr>
      </w:pPr>
      <w:r w:rsidRPr="00BB2501">
        <w:rPr>
          <w:rFonts w:cstheme="minorHAnsi"/>
        </w:rPr>
        <w:t>zdravotná indikácia sa zdôvodňuje v zdravotnej dokumentácii.</w:t>
      </w:r>
    </w:p>
    <w:p w14:paraId="2213F7D7" w14:textId="77777777" w:rsidR="003E70CE" w:rsidRPr="00BB2501" w:rsidRDefault="003E70CE" w:rsidP="003E70CE">
      <w:pPr>
        <w:pStyle w:val="Odsekzoznamu"/>
        <w:numPr>
          <w:ilvl w:val="0"/>
          <w:numId w:val="4"/>
        </w:numPr>
        <w:jc w:val="both"/>
        <w:rPr>
          <w:rFonts w:cstheme="minorHAnsi"/>
        </w:rPr>
      </w:pPr>
      <w:r w:rsidRPr="00BB2501">
        <w:rPr>
          <w:rFonts w:cstheme="minorHAnsi"/>
        </w:rPr>
        <w:t>súčasťou zdravotnej dokumentácie je overiteľný časový údaj z online prostredia, popis zdravotného výkonu dátum ďalšej konzultácie alebo kontroly, prípadne záznam o odporučení neodkladnej návštevy iného lekára</w:t>
      </w:r>
    </w:p>
    <w:p w14:paraId="7317BBB5"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výkon sa nevykazuje súčasne s inými výkonmi. </w:t>
      </w:r>
    </w:p>
    <w:p w14:paraId="70890F54" w14:textId="77777777" w:rsidR="003E70CE" w:rsidRPr="00BB2501" w:rsidRDefault="003E70CE" w:rsidP="003E70CE">
      <w:pPr>
        <w:pStyle w:val="Odsekzoznamu"/>
        <w:numPr>
          <w:ilvl w:val="0"/>
          <w:numId w:val="4"/>
        </w:numPr>
        <w:jc w:val="both"/>
        <w:rPr>
          <w:rFonts w:cstheme="minorHAnsi"/>
        </w:rPr>
      </w:pPr>
      <w:r w:rsidRPr="00BB2501">
        <w:rPr>
          <w:rFonts w:cstheme="minorHAnsi"/>
        </w:rPr>
        <w:t>výkon sa nevykazuje pre telefonické objednávanie pacienta.</w:t>
      </w:r>
    </w:p>
    <w:p w14:paraId="551DFE07" w14:textId="77777777" w:rsidR="003E70CE" w:rsidRPr="00BB2501" w:rsidRDefault="003E70CE" w:rsidP="003E70CE">
      <w:pPr>
        <w:pStyle w:val="Odsekzoznamu"/>
        <w:numPr>
          <w:ilvl w:val="0"/>
          <w:numId w:val="4"/>
        </w:numPr>
        <w:jc w:val="both"/>
        <w:rPr>
          <w:rFonts w:cstheme="minorHAnsi"/>
        </w:rPr>
      </w:pPr>
      <w:r w:rsidRPr="00BB2501">
        <w:rPr>
          <w:rFonts w:cstheme="minorHAnsi"/>
        </w:rPr>
        <w:t>vykazuje sa samostatne, najviac 1x za deň.</w:t>
      </w:r>
    </w:p>
    <w:p w14:paraId="7AA73DC3" w14:textId="77777777" w:rsidR="003E70CE" w:rsidRPr="00BB2501" w:rsidRDefault="003E70CE" w:rsidP="003E70CE">
      <w:pPr>
        <w:pStyle w:val="Odsekzoznamu"/>
        <w:jc w:val="both"/>
        <w:rPr>
          <w:rFonts w:cstheme="minorHAnsi"/>
        </w:rPr>
      </w:pPr>
    </w:p>
    <w:p w14:paraId="7CF95F44" w14:textId="77777777" w:rsidR="003E70CE" w:rsidRPr="00BB2501" w:rsidRDefault="003E70CE" w:rsidP="003E70CE">
      <w:pPr>
        <w:jc w:val="both"/>
        <w:rPr>
          <w:rFonts w:cstheme="minorHAnsi"/>
          <w:u w:val="single"/>
        </w:rPr>
      </w:pPr>
      <w:r w:rsidRPr="00BB2501">
        <w:rPr>
          <w:rFonts w:cstheme="minorHAnsi"/>
          <w:u w:val="single"/>
        </w:rPr>
        <w:t>Vykonávanie výkonu :</w:t>
      </w:r>
    </w:p>
    <w:p w14:paraId="05C8B69B" w14:textId="77777777" w:rsidR="003E70CE" w:rsidRPr="00BB2501" w:rsidRDefault="003E70CE" w:rsidP="003E70CE">
      <w:pPr>
        <w:pStyle w:val="Odsekzoznamu"/>
        <w:numPr>
          <w:ilvl w:val="0"/>
          <w:numId w:val="4"/>
        </w:numPr>
        <w:jc w:val="both"/>
        <w:rPr>
          <w:rFonts w:cstheme="minorHAnsi"/>
          <w:u w:val="single"/>
        </w:rPr>
      </w:pPr>
      <w:r w:rsidRPr="00BB2501">
        <w:rPr>
          <w:rFonts w:cstheme="minorHAnsi"/>
        </w:rPr>
        <w:t>výkon vykonáva lekár, klinický psychológ</w:t>
      </w:r>
    </w:p>
    <w:p w14:paraId="00121860" w14:textId="77777777" w:rsidR="003E70CE" w:rsidRPr="00BB2501" w:rsidRDefault="003E70CE" w:rsidP="003E70CE">
      <w:pPr>
        <w:pStyle w:val="Odsekzoznamu"/>
        <w:jc w:val="both"/>
        <w:rPr>
          <w:rFonts w:cstheme="minorHAnsi"/>
          <w:u w:val="single"/>
        </w:rPr>
      </w:pPr>
    </w:p>
    <w:p w14:paraId="513DD9F7" w14:textId="77777777" w:rsidR="003E70CE" w:rsidRPr="00BB2501" w:rsidRDefault="003E70CE" w:rsidP="003E70CE">
      <w:pPr>
        <w:jc w:val="both"/>
        <w:rPr>
          <w:rFonts w:cstheme="minorHAnsi"/>
          <w:color w:val="FF0000"/>
        </w:rPr>
      </w:pPr>
      <w:r w:rsidRPr="00BB2501">
        <w:rPr>
          <w:rFonts w:cstheme="minorHAnsi"/>
          <w:u w:val="single"/>
        </w:rPr>
        <w:t xml:space="preserve">Cena výkonu:  </w:t>
      </w:r>
    </w:p>
    <w:p w14:paraId="4CDFB053" w14:textId="77777777" w:rsidR="003E70CE" w:rsidRPr="00BB2501" w:rsidRDefault="003E70CE" w:rsidP="003E70CE">
      <w:pPr>
        <w:pStyle w:val="Odsekzoznamu"/>
        <w:numPr>
          <w:ilvl w:val="0"/>
          <w:numId w:val="4"/>
        </w:numPr>
        <w:jc w:val="both"/>
        <w:rPr>
          <w:rFonts w:cstheme="minorHAnsi"/>
        </w:rPr>
      </w:pPr>
      <w:r w:rsidRPr="00BB2501">
        <w:rPr>
          <w:rFonts w:cstheme="minorHAnsi"/>
        </w:rPr>
        <w:t>160 b</w:t>
      </w:r>
    </w:p>
    <w:p w14:paraId="3C7C2E3A" w14:textId="77777777" w:rsidR="003E70CE" w:rsidRPr="00BB2501" w:rsidRDefault="003E70CE" w:rsidP="003E70CE">
      <w:pPr>
        <w:rPr>
          <w:rFonts w:cstheme="minorHAnsi"/>
        </w:rPr>
      </w:pPr>
    </w:p>
    <w:p w14:paraId="03064B41" w14:textId="77777777" w:rsidR="003E70CE" w:rsidRPr="00BB2501" w:rsidRDefault="003E70CE" w:rsidP="003E70CE">
      <w:pPr>
        <w:rPr>
          <w:rFonts w:cstheme="minorHAnsi"/>
          <w:b/>
        </w:rPr>
      </w:pPr>
      <w:r w:rsidRPr="00BB2501">
        <w:rPr>
          <w:rFonts w:cstheme="minorHAnsi"/>
          <w:b/>
        </w:rPr>
        <w:t>Výkon 11a - Konzultácia prostredníctvom rozšírenej elektronickej komunikácie v online prostredí (webová aplikácia, videohovor)</w:t>
      </w:r>
    </w:p>
    <w:p w14:paraId="2381AA79" w14:textId="77777777" w:rsidR="003E70CE" w:rsidRPr="00BB2501" w:rsidRDefault="003E70CE" w:rsidP="003E70CE">
      <w:pPr>
        <w:jc w:val="both"/>
        <w:rPr>
          <w:rFonts w:cstheme="minorHAnsi"/>
        </w:rPr>
      </w:pPr>
      <w:r w:rsidRPr="00BB2501">
        <w:rPr>
          <w:rFonts w:cstheme="minorHAnsi"/>
          <w:u w:val="single"/>
        </w:rPr>
        <w:t>Popis výkonu (ďalej len „výkon“):</w:t>
      </w:r>
      <w:r w:rsidRPr="00BB2501">
        <w:rPr>
          <w:rFonts w:cstheme="minorHAnsi"/>
        </w:rPr>
        <w:t xml:space="preserve"> </w:t>
      </w:r>
    </w:p>
    <w:p w14:paraId="40759DBB" w14:textId="77777777" w:rsidR="003E70CE" w:rsidRPr="00BB2501" w:rsidRDefault="003E70CE" w:rsidP="003E70CE">
      <w:pPr>
        <w:jc w:val="both"/>
        <w:rPr>
          <w:rFonts w:cstheme="minorHAnsi"/>
        </w:rPr>
      </w:pPr>
      <w:r w:rsidRPr="00BB2501">
        <w:rPr>
          <w:rFonts w:cstheme="minorHAnsi"/>
        </w:rPr>
        <w:t xml:space="preserve">Konzultácia  s pacientom prostredníctvom doložiteľnej elektronickej komunikácie (webová aplikácia, videohovor) v online prostredí, ktoré je zabezpečené, prípadne umožňuje aj zdieľanie zdravotnej </w:t>
      </w:r>
      <w:r w:rsidRPr="00BB2501">
        <w:rPr>
          <w:rFonts w:cstheme="minorHAnsi"/>
        </w:rPr>
        <w:lastRenderedPageBreak/>
        <w:t>dokumentácie, realizáciu fotografii pacienta / vyšetrovaného orgánu pre pridanie do zdravotnej dokumentácie a obsahuje:</w:t>
      </w:r>
    </w:p>
    <w:p w14:paraId="7B30DB22" w14:textId="77777777" w:rsidR="003E70CE" w:rsidRPr="00BB2501" w:rsidRDefault="003E70CE" w:rsidP="003E70CE">
      <w:pPr>
        <w:pStyle w:val="Odsekzoznamu"/>
        <w:numPr>
          <w:ilvl w:val="0"/>
          <w:numId w:val="4"/>
        </w:numPr>
        <w:jc w:val="both"/>
        <w:rPr>
          <w:rFonts w:cstheme="minorHAnsi"/>
        </w:rPr>
      </w:pPr>
      <w:r w:rsidRPr="00BB2501">
        <w:rPr>
          <w:rFonts w:cstheme="minorHAnsi"/>
        </w:rPr>
        <w:t>cielenú anamnézu, resp. anamnézu od poslednej  kontroly a popis subjektívnych ťažkostí vo vzťahu k dvom alebo viacerým orgánovým systémom</w:t>
      </w:r>
    </w:p>
    <w:p w14:paraId="1C539D24"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zhodnotenie výsledkov, </w:t>
      </w:r>
    </w:p>
    <w:p w14:paraId="4EC0363C" w14:textId="77777777" w:rsidR="003E70CE" w:rsidRPr="00BB2501" w:rsidRDefault="003E70CE" w:rsidP="003E70CE">
      <w:pPr>
        <w:pStyle w:val="Odsekzoznamu"/>
        <w:numPr>
          <w:ilvl w:val="0"/>
          <w:numId w:val="4"/>
        </w:numPr>
        <w:jc w:val="both"/>
        <w:rPr>
          <w:rFonts w:cstheme="minorHAnsi"/>
        </w:rPr>
      </w:pPr>
      <w:r w:rsidRPr="00BB2501">
        <w:rPr>
          <w:rFonts w:cstheme="minorHAnsi"/>
        </w:rPr>
        <w:t>vypísanie receptov, prípadne vypísanie žiadaniek na ďalšie vyšetrenie,</w:t>
      </w:r>
    </w:p>
    <w:p w14:paraId="3EED7290"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poučenie pacienta,  </w:t>
      </w:r>
    </w:p>
    <w:p w14:paraId="3650E531"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diagnostický záver </w:t>
      </w:r>
    </w:p>
    <w:p w14:paraId="58754B56"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určenie dátumu ďalšej konzultácie alebo kontroly, prípadne záznam o odporučení neodkladnej návštevy iného lekára. </w:t>
      </w:r>
    </w:p>
    <w:p w14:paraId="26D80779" w14:textId="77777777" w:rsidR="003E70CE" w:rsidRPr="00BB2501" w:rsidRDefault="003E70CE" w:rsidP="003E70CE">
      <w:pPr>
        <w:pStyle w:val="Odsekzoznamu"/>
        <w:jc w:val="both"/>
        <w:rPr>
          <w:rFonts w:cstheme="minorHAnsi"/>
          <w:color w:val="FF0000"/>
        </w:rPr>
      </w:pPr>
    </w:p>
    <w:p w14:paraId="48A36FA5" w14:textId="77777777" w:rsidR="003E70CE" w:rsidRPr="00BB2501" w:rsidRDefault="003E70CE" w:rsidP="003E70CE">
      <w:pPr>
        <w:jc w:val="both"/>
        <w:rPr>
          <w:rFonts w:cstheme="minorHAnsi"/>
          <w:u w:val="single"/>
        </w:rPr>
      </w:pPr>
      <w:r w:rsidRPr="00BB2501">
        <w:rPr>
          <w:rFonts w:cstheme="minorHAnsi"/>
          <w:u w:val="single"/>
        </w:rPr>
        <w:t>Vykazovanie zdravotného výkonu:</w:t>
      </w:r>
    </w:p>
    <w:p w14:paraId="40FED9BE"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výkon  sa vykazuje  ako komplexná starostlivosť bez fyzikálneho vyšetrenia </w:t>
      </w:r>
    </w:p>
    <w:p w14:paraId="0BF42ED6"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súčasťou zdravotnej dokumentácie o výkone je overiteľný časový údaj z online prostredia, </w:t>
      </w:r>
    </w:p>
    <w:p w14:paraId="31B56EEE"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popis zdravotného výkonu </w:t>
      </w:r>
    </w:p>
    <w:p w14:paraId="186D7A3A"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diagnostický záver, ak je potrebné dátum ďalšej konzultácie alebo kontroly </w:t>
      </w:r>
    </w:p>
    <w:p w14:paraId="3AF6CDC6"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prípadne záznam o odporučení neodkladnej návštevy iného lekára. </w:t>
      </w:r>
    </w:p>
    <w:p w14:paraId="29410271" w14:textId="77777777" w:rsidR="003E70CE" w:rsidRPr="00BB2501" w:rsidRDefault="003E70CE" w:rsidP="003E70CE">
      <w:pPr>
        <w:pStyle w:val="Odsekzoznamu"/>
        <w:numPr>
          <w:ilvl w:val="0"/>
          <w:numId w:val="4"/>
        </w:numPr>
        <w:jc w:val="both"/>
        <w:rPr>
          <w:rFonts w:cstheme="minorHAnsi"/>
        </w:rPr>
      </w:pPr>
      <w:r w:rsidRPr="00BB2501">
        <w:rPr>
          <w:rFonts w:cstheme="minorHAnsi"/>
        </w:rPr>
        <w:t>výkon sa  nevykazuje súčasne s inými výkonmi</w:t>
      </w:r>
    </w:p>
    <w:p w14:paraId="3E0776E7" w14:textId="77777777" w:rsidR="003E70CE" w:rsidRPr="00BB2501" w:rsidRDefault="003E70CE" w:rsidP="003E70CE">
      <w:pPr>
        <w:pStyle w:val="Odsekzoznamu"/>
        <w:numPr>
          <w:ilvl w:val="0"/>
          <w:numId w:val="4"/>
        </w:numPr>
        <w:jc w:val="both"/>
        <w:rPr>
          <w:rFonts w:cstheme="minorHAnsi"/>
        </w:rPr>
      </w:pPr>
      <w:r w:rsidRPr="00BB2501">
        <w:rPr>
          <w:rFonts w:cstheme="minorHAnsi"/>
        </w:rPr>
        <w:t>ak je po konzultácii potrebná aj kontrola v ambulancii, vykazujú sa len výkony, ktoré sa vykonali ambulantne a výkon  sa nevykazuje</w:t>
      </w:r>
    </w:p>
    <w:p w14:paraId="3F694B31" w14:textId="77777777" w:rsidR="003E70CE" w:rsidRPr="00BB2501" w:rsidRDefault="003E70CE" w:rsidP="003E70CE">
      <w:pPr>
        <w:pStyle w:val="Odsekzoznamu"/>
        <w:numPr>
          <w:ilvl w:val="0"/>
          <w:numId w:val="4"/>
        </w:numPr>
        <w:jc w:val="both"/>
        <w:rPr>
          <w:rFonts w:cstheme="minorHAnsi"/>
        </w:rPr>
      </w:pPr>
      <w:r w:rsidRPr="00BB2501">
        <w:rPr>
          <w:rFonts w:cstheme="minorHAnsi"/>
        </w:rPr>
        <w:t>výkon sa vykazuje samostatne, najviac 1x deň</w:t>
      </w:r>
    </w:p>
    <w:p w14:paraId="45767762" w14:textId="77777777" w:rsidR="003E70CE" w:rsidRPr="00BB2501" w:rsidRDefault="003E70CE" w:rsidP="003E70CE">
      <w:pPr>
        <w:pStyle w:val="Odsekzoznamu"/>
        <w:jc w:val="both"/>
        <w:rPr>
          <w:rFonts w:cstheme="minorHAnsi"/>
        </w:rPr>
      </w:pPr>
    </w:p>
    <w:p w14:paraId="6CCEC99C" w14:textId="77777777" w:rsidR="003E70CE" w:rsidRPr="00BB2501" w:rsidRDefault="003E70CE" w:rsidP="003E70CE">
      <w:pPr>
        <w:jc w:val="both"/>
        <w:rPr>
          <w:rFonts w:cstheme="minorHAnsi"/>
          <w:u w:val="single"/>
        </w:rPr>
      </w:pPr>
      <w:r w:rsidRPr="00BB2501">
        <w:rPr>
          <w:rFonts w:cstheme="minorHAnsi"/>
          <w:u w:val="single"/>
        </w:rPr>
        <w:t xml:space="preserve"> Vykonávanie výkonu:</w:t>
      </w:r>
    </w:p>
    <w:p w14:paraId="54194BCC" w14:textId="77777777" w:rsidR="003E70CE" w:rsidRPr="00BB2501" w:rsidRDefault="003E70CE" w:rsidP="003E70CE">
      <w:pPr>
        <w:pStyle w:val="Odsekzoznamu"/>
        <w:numPr>
          <w:ilvl w:val="0"/>
          <w:numId w:val="5"/>
        </w:numPr>
        <w:jc w:val="both"/>
        <w:rPr>
          <w:rFonts w:cstheme="minorHAnsi"/>
          <w:strike/>
          <w:u w:val="single"/>
        </w:rPr>
      </w:pPr>
      <w:r w:rsidRPr="00BB2501">
        <w:rPr>
          <w:rFonts w:cstheme="minorHAnsi"/>
        </w:rPr>
        <w:t xml:space="preserve">výkon vykonáva lekár </w:t>
      </w:r>
    </w:p>
    <w:p w14:paraId="697DC120" w14:textId="77777777" w:rsidR="003E70CE" w:rsidRPr="00BB2501" w:rsidRDefault="003E70CE" w:rsidP="003E70CE">
      <w:pPr>
        <w:pStyle w:val="Odsekzoznamu"/>
        <w:jc w:val="both"/>
        <w:rPr>
          <w:rFonts w:cstheme="minorHAnsi"/>
          <w:u w:val="single"/>
        </w:rPr>
      </w:pPr>
    </w:p>
    <w:p w14:paraId="1866D7AC" w14:textId="63339008" w:rsidR="003E70CE" w:rsidRPr="00BB2501" w:rsidRDefault="003E70CE" w:rsidP="003E70CE">
      <w:pPr>
        <w:jc w:val="both"/>
        <w:rPr>
          <w:rFonts w:cstheme="minorHAnsi"/>
        </w:rPr>
      </w:pPr>
      <w:r w:rsidRPr="00BB2501">
        <w:rPr>
          <w:rFonts w:cstheme="minorHAnsi"/>
        </w:rPr>
        <w:t xml:space="preserve">Cena:  210b  </w:t>
      </w:r>
    </w:p>
    <w:p w14:paraId="3C6C9C4E" w14:textId="77777777" w:rsidR="003E70CE" w:rsidRPr="00BB2501" w:rsidRDefault="003E70CE" w:rsidP="003E70CE">
      <w:pPr>
        <w:jc w:val="both"/>
        <w:rPr>
          <w:rFonts w:cstheme="minorHAnsi"/>
        </w:rPr>
      </w:pPr>
    </w:p>
    <w:p w14:paraId="2DB5265E" w14:textId="77777777" w:rsidR="003E70CE" w:rsidRPr="00BB2501" w:rsidRDefault="003E70CE" w:rsidP="003E70CE">
      <w:pPr>
        <w:jc w:val="both"/>
        <w:rPr>
          <w:rFonts w:cstheme="minorHAnsi"/>
          <w:b/>
        </w:rPr>
      </w:pPr>
      <w:r w:rsidRPr="00BB2501">
        <w:rPr>
          <w:rFonts w:cstheme="minorHAnsi"/>
          <w:b/>
        </w:rPr>
        <w:t>Výkon 70 -</w:t>
      </w:r>
      <w:r w:rsidRPr="00BB2501">
        <w:rPr>
          <w:rFonts w:cstheme="minorHAnsi"/>
        </w:rPr>
        <w:t xml:space="preserve"> </w:t>
      </w:r>
      <w:r w:rsidRPr="00BB2501">
        <w:rPr>
          <w:rFonts w:cstheme="minorHAnsi"/>
          <w:b/>
        </w:rPr>
        <w:t>Opätovné lekárske vystavenie receptov a (alebo) poukazov</w:t>
      </w:r>
    </w:p>
    <w:p w14:paraId="198DA94F" w14:textId="77777777" w:rsidR="003E70CE" w:rsidRPr="00BB2501" w:rsidRDefault="003E70CE" w:rsidP="003E70CE">
      <w:pPr>
        <w:jc w:val="both"/>
        <w:rPr>
          <w:rFonts w:cstheme="minorHAnsi"/>
          <w:u w:val="single"/>
        </w:rPr>
      </w:pPr>
      <w:r w:rsidRPr="00BB2501">
        <w:rPr>
          <w:rFonts w:cstheme="minorHAnsi"/>
          <w:u w:val="single"/>
        </w:rPr>
        <w:t xml:space="preserve">Popis výkonu(ďalej len „výkon“): </w:t>
      </w:r>
    </w:p>
    <w:p w14:paraId="6AA50846" w14:textId="77777777" w:rsidR="003E70CE" w:rsidRPr="00BB2501" w:rsidRDefault="003E70CE" w:rsidP="003E70CE">
      <w:pPr>
        <w:pStyle w:val="Odsekzoznamu"/>
        <w:numPr>
          <w:ilvl w:val="0"/>
          <w:numId w:val="5"/>
        </w:numPr>
        <w:jc w:val="both"/>
        <w:rPr>
          <w:rFonts w:cstheme="minorHAnsi"/>
        </w:rPr>
      </w:pPr>
      <w:r w:rsidRPr="00BB2501">
        <w:rPr>
          <w:rFonts w:cstheme="minorHAnsi"/>
        </w:rPr>
        <w:t>Vystavenie receptov a/alebo poukazov elektronickou formou pre lieky/ zdravotné pomôcky, ktoré pacient užíva dlhšie ako 3 mesiace a nebola realizovaná zmena dávkovania lieku</w:t>
      </w:r>
    </w:p>
    <w:p w14:paraId="583B57B2" w14:textId="77777777" w:rsidR="003E70CE" w:rsidRPr="00BB2501" w:rsidRDefault="003E70CE" w:rsidP="003E70CE">
      <w:pPr>
        <w:jc w:val="both"/>
        <w:rPr>
          <w:rFonts w:cstheme="minorHAnsi"/>
        </w:rPr>
      </w:pPr>
      <w:r w:rsidRPr="00BB2501">
        <w:rPr>
          <w:rFonts w:cstheme="minorHAnsi"/>
          <w:u w:val="single"/>
        </w:rPr>
        <w:t>Vykazovanie výkonu:</w:t>
      </w:r>
    </w:p>
    <w:p w14:paraId="77A02193" w14:textId="77777777" w:rsidR="003E70CE" w:rsidRPr="00BB2501" w:rsidRDefault="003E70CE" w:rsidP="003E70CE">
      <w:pPr>
        <w:pStyle w:val="Odsekzoznamu"/>
        <w:numPr>
          <w:ilvl w:val="0"/>
          <w:numId w:val="5"/>
        </w:numPr>
        <w:jc w:val="both"/>
        <w:rPr>
          <w:rFonts w:cstheme="minorHAnsi"/>
        </w:rPr>
      </w:pPr>
      <w:r w:rsidRPr="00BB2501">
        <w:rPr>
          <w:rFonts w:cstheme="minorHAnsi"/>
        </w:rPr>
        <w:t xml:space="preserve">výkon sa vykazuje ako starostlivosť bez fyzikálneho vyšetrenia  pacienta, </w:t>
      </w:r>
    </w:p>
    <w:p w14:paraId="55350368" w14:textId="77777777" w:rsidR="003E70CE" w:rsidRPr="00BB2501" w:rsidRDefault="003E70CE" w:rsidP="003E70CE">
      <w:pPr>
        <w:pStyle w:val="Odsekzoznamu"/>
        <w:numPr>
          <w:ilvl w:val="0"/>
          <w:numId w:val="5"/>
        </w:numPr>
        <w:jc w:val="both"/>
        <w:rPr>
          <w:rFonts w:cstheme="minorHAnsi"/>
        </w:rPr>
      </w:pPr>
      <w:r w:rsidRPr="00BB2501">
        <w:rPr>
          <w:rFonts w:cstheme="minorHAnsi"/>
        </w:rPr>
        <w:t xml:space="preserve">súčasťou zdravotnej dokumentácie o výkone je overiteľný časový údaj z online prostredia, </w:t>
      </w:r>
    </w:p>
    <w:p w14:paraId="6DD0821F" w14:textId="77777777" w:rsidR="003E70CE" w:rsidRPr="00BB2501" w:rsidRDefault="003E70CE" w:rsidP="003E70CE">
      <w:pPr>
        <w:pStyle w:val="Odsekzoznamu"/>
        <w:numPr>
          <w:ilvl w:val="0"/>
          <w:numId w:val="5"/>
        </w:numPr>
        <w:jc w:val="both"/>
        <w:rPr>
          <w:rFonts w:cstheme="minorHAnsi"/>
        </w:rPr>
      </w:pPr>
      <w:r w:rsidRPr="00BB2501">
        <w:rPr>
          <w:rFonts w:cstheme="minorHAnsi"/>
        </w:rPr>
        <w:t xml:space="preserve">údaj, kedy bol recept vypísaný </w:t>
      </w:r>
    </w:p>
    <w:p w14:paraId="731CDB31" w14:textId="77777777" w:rsidR="003E70CE" w:rsidRPr="00BB2501" w:rsidRDefault="003E70CE" w:rsidP="003E70CE">
      <w:pPr>
        <w:pStyle w:val="Odsekzoznamu"/>
        <w:numPr>
          <w:ilvl w:val="0"/>
          <w:numId w:val="5"/>
        </w:numPr>
        <w:jc w:val="both"/>
        <w:rPr>
          <w:rFonts w:cstheme="minorHAnsi"/>
        </w:rPr>
      </w:pPr>
      <w:r w:rsidRPr="00BB2501">
        <w:rPr>
          <w:rFonts w:cstheme="minorHAnsi"/>
        </w:rPr>
        <w:t xml:space="preserve">údaj o predpise lieku/ zdravotnej pomôcky pacientovi prostredníctvom elektronických služieb </w:t>
      </w:r>
    </w:p>
    <w:p w14:paraId="3511D16D" w14:textId="77777777" w:rsidR="003E70CE" w:rsidRPr="00BB2501" w:rsidRDefault="003E70CE" w:rsidP="003E70CE">
      <w:pPr>
        <w:pStyle w:val="Odsekzoznamu"/>
        <w:numPr>
          <w:ilvl w:val="0"/>
          <w:numId w:val="5"/>
        </w:numPr>
        <w:jc w:val="both"/>
        <w:rPr>
          <w:rFonts w:cstheme="minorHAnsi"/>
        </w:rPr>
      </w:pPr>
      <w:r w:rsidRPr="00BB2501">
        <w:rPr>
          <w:rFonts w:cstheme="minorHAnsi"/>
        </w:rPr>
        <w:t>výkon sa vzťahuje na jedného pacienta bez ohľadu na počet liekov/ zdravotnej pomôcky, ktoré boli pacientovi predpísané</w:t>
      </w:r>
    </w:p>
    <w:p w14:paraId="079C085C" w14:textId="77777777" w:rsidR="003E70CE" w:rsidRPr="00BB2501" w:rsidRDefault="003E70CE" w:rsidP="003E70CE">
      <w:pPr>
        <w:pStyle w:val="Odsekzoznamu"/>
        <w:numPr>
          <w:ilvl w:val="0"/>
          <w:numId w:val="5"/>
        </w:numPr>
        <w:jc w:val="both"/>
        <w:rPr>
          <w:rFonts w:cstheme="minorHAnsi"/>
        </w:rPr>
      </w:pPr>
      <w:r w:rsidRPr="00BB2501">
        <w:rPr>
          <w:rFonts w:cstheme="minorHAnsi"/>
        </w:rPr>
        <w:t>výkon  sa nevykazuje súčasne s inými zdravotnými výkonmi</w:t>
      </w:r>
    </w:p>
    <w:p w14:paraId="07F96906" w14:textId="77777777" w:rsidR="003E70CE" w:rsidRPr="00BB2501" w:rsidRDefault="003E70CE" w:rsidP="003E70CE">
      <w:pPr>
        <w:pStyle w:val="Odsekzoznamu"/>
        <w:numPr>
          <w:ilvl w:val="0"/>
          <w:numId w:val="5"/>
        </w:numPr>
        <w:jc w:val="both"/>
        <w:rPr>
          <w:rFonts w:cstheme="minorHAnsi"/>
        </w:rPr>
      </w:pPr>
      <w:r w:rsidRPr="00BB2501">
        <w:rPr>
          <w:rFonts w:cstheme="minorHAnsi"/>
        </w:rPr>
        <w:t>vykazuje sa samostatne, najviac 1x za deň, bez ohľadu na počet vystavených receptov a/alebo poukazov.</w:t>
      </w:r>
    </w:p>
    <w:p w14:paraId="063EB61E" w14:textId="77777777" w:rsidR="003E70CE" w:rsidRPr="00BB2501" w:rsidRDefault="003E70CE" w:rsidP="003E70CE">
      <w:pPr>
        <w:jc w:val="both"/>
        <w:rPr>
          <w:rFonts w:cstheme="minorHAnsi"/>
        </w:rPr>
      </w:pPr>
    </w:p>
    <w:p w14:paraId="2EDD5373" w14:textId="77777777" w:rsidR="003E70CE" w:rsidRPr="00BB2501" w:rsidRDefault="003E70CE" w:rsidP="003E70CE">
      <w:pPr>
        <w:jc w:val="both"/>
        <w:rPr>
          <w:rFonts w:cstheme="minorHAnsi"/>
          <w:u w:val="single"/>
        </w:rPr>
      </w:pPr>
      <w:r w:rsidRPr="00BB2501">
        <w:rPr>
          <w:rFonts w:cstheme="minorHAnsi"/>
          <w:u w:val="single"/>
        </w:rPr>
        <w:t>Vykonávanie zdravotného výkonu:</w:t>
      </w:r>
    </w:p>
    <w:p w14:paraId="7BD71F3E" w14:textId="77777777" w:rsidR="003E70CE" w:rsidRPr="00BB2501" w:rsidRDefault="003E70CE" w:rsidP="003E70CE">
      <w:pPr>
        <w:pStyle w:val="Odsekzoznamu"/>
        <w:numPr>
          <w:ilvl w:val="0"/>
          <w:numId w:val="6"/>
        </w:numPr>
        <w:jc w:val="both"/>
        <w:rPr>
          <w:rFonts w:cstheme="minorHAnsi"/>
          <w:u w:val="single"/>
        </w:rPr>
      </w:pPr>
      <w:r w:rsidRPr="00BB2501">
        <w:rPr>
          <w:rFonts w:cstheme="minorHAnsi"/>
        </w:rPr>
        <w:t>výkon vykonáva lekár</w:t>
      </w:r>
    </w:p>
    <w:p w14:paraId="06D67DC5" w14:textId="77777777" w:rsidR="003E70CE" w:rsidRPr="00BB2501" w:rsidRDefault="003E70CE" w:rsidP="003E70CE">
      <w:pPr>
        <w:jc w:val="both"/>
        <w:rPr>
          <w:rFonts w:cstheme="minorHAnsi"/>
          <w:u w:val="single"/>
        </w:rPr>
      </w:pPr>
      <w:r w:rsidRPr="00BB2501">
        <w:rPr>
          <w:rFonts w:cstheme="minorHAnsi"/>
          <w:u w:val="single"/>
        </w:rPr>
        <w:t xml:space="preserve">Cena: </w:t>
      </w:r>
    </w:p>
    <w:p w14:paraId="6DA3A5F0" w14:textId="77777777" w:rsidR="003E70CE" w:rsidRPr="00BB2501" w:rsidRDefault="003E70CE" w:rsidP="003E70CE">
      <w:pPr>
        <w:pStyle w:val="Odsekzoznamu"/>
        <w:numPr>
          <w:ilvl w:val="0"/>
          <w:numId w:val="5"/>
        </w:numPr>
        <w:jc w:val="both"/>
        <w:rPr>
          <w:rFonts w:cstheme="minorHAnsi"/>
        </w:rPr>
      </w:pPr>
      <w:r w:rsidRPr="00BB2501">
        <w:rPr>
          <w:rFonts w:cstheme="minorHAnsi"/>
        </w:rPr>
        <w:t>40 b</w:t>
      </w:r>
    </w:p>
    <w:p w14:paraId="3A21CAF2" w14:textId="77777777" w:rsidR="003E70CE" w:rsidRPr="00BB2501" w:rsidRDefault="003E70CE" w:rsidP="003E70CE">
      <w:pPr>
        <w:jc w:val="both"/>
        <w:rPr>
          <w:rFonts w:cstheme="minorHAnsi"/>
        </w:rPr>
      </w:pPr>
    </w:p>
    <w:p w14:paraId="3D7368FA" w14:textId="77777777" w:rsidR="003E70CE" w:rsidRPr="00BB2501" w:rsidRDefault="003E70CE" w:rsidP="003E70CE">
      <w:pPr>
        <w:jc w:val="both"/>
        <w:rPr>
          <w:rFonts w:cstheme="minorHAnsi"/>
          <w:b/>
        </w:rPr>
      </w:pPr>
      <w:r w:rsidRPr="00BB2501">
        <w:rPr>
          <w:rFonts w:cstheme="minorHAnsi"/>
          <w:b/>
        </w:rPr>
        <w:t xml:space="preserve">1c – Krízová konzultácia psychiatrom a psychológom prostredníctvom elektronickej komunikácie </w:t>
      </w:r>
    </w:p>
    <w:p w14:paraId="0F8F081A" w14:textId="77777777" w:rsidR="003E70CE" w:rsidRPr="00BB2501" w:rsidRDefault="003E70CE" w:rsidP="003E70CE">
      <w:pPr>
        <w:jc w:val="both"/>
        <w:rPr>
          <w:rFonts w:cstheme="minorHAnsi"/>
          <w:u w:val="single"/>
        </w:rPr>
      </w:pPr>
      <w:r w:rsidRPr="00BB2501">
        <w:rPr>
          <w:rFonts w:cstheme="minorHAnsi"/>
          <w:u w:val="single"/>
        </w:rPr>
        <w:t xml:space="preserve">Popis zdravotného výkonu (ďalej len „výkon“): </w:t>
      </w:r>
    </w:p>
    <w:p w14:paraId="7D3699A5" w14:textId="77777777" w:rsidR="003E70CE" w:rsidRPr="00BB2501" w:rsidRDefault="003E70CE" w:rsidP="003E70CE">
      <w:pPr>
        <w:jc w:val="both"/>
        <w:rPr>
          <w:rFonts w:cstheme="minorHAnsi"/>
        </w:rPr>
      </w:pPr>
      <w:r w:rsidRPr="00BB2501">
        <w:rPr>
          <w:rFonts w:cstheme="minorHAnsi"/>
        </w:rPr>
        <w:t>Konzultácia s pacientom telefonicky alebo prostredníctvom elektronickej pošty alebo webovej aplikácie alebo videohovoru obsahuje:</w:t>
      </w:r>
    </w:p>
    <w:p w14:paraId="32B144BB"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cielenú anamnézu, </w:t>
      </w:r>
    </w:p>
    <w:p w14:paraId="55A68217" w14:textId="77777777" w:rsidR="003E70CE" w:rsidRPr="00BB2501" w:rsidRDefault="003E70CE" w:rsidP="003E70CE">
      <w:pPr>
        <w:pStyle w:val="Odsekzoznamu"/>
        <w:numPr>
          <w:ilvl w:val="0"/>
          <w:numId w:val="3"/>
        </w:numPr>
        <w:jc w:val="both"/>
        <w:rPr>
          <w:rFonts w:cstheme="minorHAnsi"/>
        </w:rPr>
      </w:pPr>
      <w:r w:rsidRPr="00BB2501">
        <w:rPr>
          <w:rFonts w:cstheme="minorHAnsi"/>
        </w:rPr>
        <w:t>popis subjektívnych ťažkostí,</w:t>
      </w:r>
    </w:p>
    <w:p w14:paraId="6FD9831F" w14:textId="77777777" w:rsidR="003E70CE" w:rsidRPr="00BB2501" w:rsidRDefault="003E70CE" w:rsidP="003E70CE">
      <w:pPr>
        <w:pStyle w:val="Odsekzoznamu"/>
        <w:numPr>
          <w:ilvl w:val="0"/>
          <w:numId w:val="3"/>
        </w:numPr>
        <w:jc w:val="both"/>
        <w:rPr>
          <w:rFonts w:cstheme="minorHAnsi"/>
        </w:rPr>
      </w:pPr>
      <w:r w:rsidRPr="00BB2501">
        <w:rPr>
          <w:rFonts w:cstheme="minorHAnsi"/>
        </w:rPr>
        <w:t>k</w:t>
      </w:r>
      <w:r w:rsidRPr="00BB2501">
        <w:rPr>
          <w:rFonts w:eastAsia="Times New Roman" w:cstheme="minorHAnsi"/>
          <w:color w:val="000000"/>
          <w:lang w:eastAsia="sk-SK"/>
        </w:rPr>
        <w:t xml:space="preserve">rízovú psychoterapeutickú intervenciu ako okamžité opatrenie pri akútnej psychickej dekompenzácii (napríklad pokus o samovraždu) </w:t>
      </w:r>
    </w:p>
    <w:p w14:paraId="06882324"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diagnostický záver, </w:t>
      </w:r>
    </w:p>
    <w:p w14:paraId="2FB8DEB1"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poučenie o psychohygiene, </w:t>
      </w:r>
    </w:p>
    <w:p w14:paraId="6243F222"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v prípade potreby určenie dátumu ďalšej konzultácie alebo kontroly, vrátane predpisu </w:t>
      </w:r>
    </w:p>
    <w:p w14:paraId="63ACE747" w14:textId="77777777" w:rsidR="003E70CE" w:rsidRPr="00BB2501" w:rsidRDefault="003E70CE" w:rsidP="003E70CE">
      <w:pPr>
        <w:pStyle w:val="Odsekzoznamu"/>
        <w:numPr>
          <w:ilvl w:val="0"/>
          <w:numId w:val="3"/>
        </w:numPr>
        <w:jc w:val="both"/>
        <w:rPr>
          <w:rFonts w:cstheme="minorHAnsi"/>
        </w:rPr>
      </w:pPr>
      <w:r w:rsidRPr="00BB2501">
        <w:rPr>
          <w:rFonts w:cstheme="minorHAnsi"/>
        </w:rPr>
        <w:t>prípadne záznam o odporučení neodkladnej návštevy iného lekára</w:t>
      </w:r>
    </w:p>
    <w:p w14:paraId="7B318254" w14:textId="77777777" w:rsidR="003E70CE" w:rsidRPr="00BB2501" w:rsidRDefault="003E70CE" w:rsidP="003E70CE">
      <w:pPr>
        <w:pStyle w:val="Odsekzoznamu"/>
        <w:numPr>
          <w:ilvl w:val="0"/>
          <w:numId w:val="3"/>
        </w:numPr>
        <w:jc w:val="both"/>
        <w:rPr>
          <w:rFonts w:cstheme="minorHAnsi"/>
        </w:rPr>
      </w:pPr>
      <w:r w:rsidRPr="00BB2501">
        <w:rPr>
          <w:rFonts w:cstheme="minorHAnsi"/>
        </w:rPr>
        <w:t xml:space="preserve">poskytnutie informácií pacientovi alebo zákonnému zástupcovi v súvislosti so zdravotným stavom s diagnostickým alebo liečebným postupom vrátane farmakoterapie </w:t>
      </w:r>
    </w:p>
    <w:p w14:paraId="3561D42A" w14:textId="77777777" w:rsidR="003E70CE" w:rsidRPr="00BB2501" w:rsidRDefault="003E70CE" w:rsidP="003E70CE">
      <w:pPr>
        <w:pStyle w:val="Odsekzoznamu"/>
        <w:numPr>
          <w:ilvl w:val="0"/>
          <w:numId w:val="3"/>
        </w:numPr>
        <w:jc w:val="both"/>
        <w:rPr>
          <w:rFonts w:cstheme="minorHAnsi"/>
        </w:rPr>
      </w:pPr>
    </w:p>
    <w:p w14:paraId="05152EA5" w14:textId="77777777" w:rsidR="003E70CE" w:rsidRPr="00BB2501" w:rsidRDefault="003E70CE" w:rsidP="003E70CE">
      <w:pPr>
        <w:jc w:val="both"/>
        <w:rPr>
          <w:rFonts w:cstheme="minorHAnsi"/>
          <w:u w:val="single"/>
        </w:rPr>
      </w:pPr>
      <w:r w:rsidRPr="00BB2501">
        <w:rPr>
          <w:rFonts w:cstheme="minorHAnsi"/>
          <w:u w:val="single"/>
        </w:rPr>
        <w:t>Vykazovanie výkonu:</w:t>
      </w:r>
    </w:p>
    <w:p w14:paraId="18AB2C30"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výkon  sa vykazuje ako zdravotná starostlivosť bez osobnej prítomnosti pacienta </w:t>
      </w:r>
    </w:p>
    <w:p w14:paraId="79CAE269" w14:textId="77777777" w:rsidR="003E70CE" w:rsidRPr="00BB2501" w:rsidRDefault="003E70CE" w:rsidP="003E70CE">
      <w:pPr>
        <w:pStyle w:val="Odsekzoznamu"/>
        <w:numPr>
          <w:ilvl w:val="0"/>
          <w:numId w:val="4"/>
        </w:numPr>
        <w:jc w:val="both"/>
        <w:rPr>
          <w:rFonts w:cstheme="minorHAnsi"/>
        </w:rPr>
      </w:pPr>
      <w:r w:rsidRPr="00BB2501">
        <w:rPr>
          <w:rFonts w:cstheme="minorHAnsi"/>
        </w:rPr>
        <w:t>zdravotná indikácia sa zdôvodňuje v zdravotnej dokumentácii</w:t>
      </w:r>
    </w:p>
    <w:p w14:paraId="775CC017" w14:textId="77777777" w:rsidR="003E70CE" w:rsidRPr="00BB2501" w:rsidRDefault="003E70CE" w:rsidP="003E70CE">
      <w:pPr>
        <w:pStyle w:val="Odsekzoznamu"/>
        <w:numPr>
          <w:ilvl w:val="0"/>
          <w:numId w:val="4"/>
        </w:numPr>
        <w:jc w:val="both"/>
        <w:rPr>
          <w:rFonts w:cstheme="minorHAnsi"/>
        </w:rPr>
      </w:pPr>
      <w:r w:rsidRPr="00BB2501">
        <w:rPr>
          <w:rFonts w:cstheme="minorHAnsi"/>
        </w:rPr>
        <w:t>súčasťou zdravotnej dokumentácie je overiteľný časový údaj z online prostredia, popis zdravotného výkonu v trvaní najmenej 45 minút, dátum ďalšej konzultácie alebo kontroly, prípadne záznam o odporučení neodkladnej návštevy iného lekára</w:t>
      </w:r>
    </w:p>
    <w:p w14:paraId="3C422C90" w14:textId="77777777" w:rsidR="003E70CE" w:rsidRPr="00BB2501" w:rsidRDefault="003E70CE" w:rsidP="003E70CE">
      <w:pPr>
        <w:pStyle w:val="Odsekzoznamu"/>
        <w:numPr>
          <w:ilvl w:val="0"/>
          <w:numId w:val="4"/>
        </w:numPr>
        <w:jc w:val="both"/>
        <w:rPr>
          <w:rFonts w:cstheme="minorHAnsi"/>
        </w:rPr>
      </w:pPr>
      <w:r w:rsidRPr="00BB2501">
        <w:rPr>
          <w:rFonts w:cstheme="minorHAnsi"/>
        </w:rPr>
        <w:t xml:space="preserve">výkon  sa nevykazuje súčasne s inými výkonmi. </w:t>
      </w:r>
    </w:p>
    <w:p w14:paraId="51B4740B" w14:textId="77777777" w:rsidR="003E70CE" w:rsidRPr="00BB2501" w:rsidRDefault="003E70CE" w:rsidP="003E70CE">
      <w:pPr>
        <w:pStyle w:val="Odsekzoznamu"/>
        <w:numPr>
          <w:ilvl w:val="0"/>
          <w:numId w:val="4"/>
        </w:numPr>
        <w:jc w:val="both"/>
        <w:rPr>
          <w:rFonts w:cstheme="minorHAnsi"/>
        </w:rPr>
      </w:pPr>
      <w:r w:rsidRPr="00BB2501">
        <w:rPr>
          <w:rFonts w:cstheme="minorHAnsi"/>
        </w:rPr>
        <w:t>výkon sa nevykazuje pre telefonické objednávanie pacienta.</w:t>
      </w:r>
    </w:p>
    <w:p w14:paraId="12D49AC6" w14:textId="77777777" w:rsidR="003E70CE" w:rsidRPr="00BB2501" w:rsidRDefault="003E70CE" w:rsidP="003E70CE">
      <w:pPr>
        <w:pStyle w:val="Odsekzoznamu"/>
        <w:numPr>
          <w:ilvl w:val="0"/>
          <w:numId w:val="4"/>
        </w:numPr>
        <w:jc w:val="both"/>
        <w:rPr>
          <w:rFonts w:cstheme="minorHAnsi"/>
        </w:rPr>
      </w:pPr>
      <w:r w:rsidRPr="00BB2501">
        <w:rPr>
          <w:rFonts w:cstheme="minorHAnsi"/>
        </w:rPr>
        <w:t>výkon sa vykazuje  samostatne, najviac 1x za deň</w:t>
      </w:r>
    </w:p>
    <w:p w14:paraId="01424A11" w14:textId="77777777" w:rsidR="003E70CE" w:rsidRPr="00BB2501" w:rsidRDefault="003E70CE" w:rsidP="003E70CE">
      <w:pPr>
        <w:pStyle w:val="Odsekzoznamu"/>
        <w:numPr>
          <w:ilvl w:val="0"/>
          <w:numId w:val="4"/>
        </w:numPr>
        <w:jc w:val="both"/>
        <w:rPr>
          <w:rFonts w:cstheme="minorHAnsi"/>
        </w:rPr>
      </w:pPr>
      <w:r w:rsidRPr="00BB2501">
        <w:rPr>
          <w:rFonts w:cstheme="minorHAnsi"/>
        </w:rPr>
        <w:t>opakované vykázanie v jednom liečebnom prípade vyžaduje osobitné zdôvodnenie v zdravotnej dokumentácii</w:t>
      </w:r>
    </w:p>
    <w:p w14:paraId="67202120" w14:textId="77777777" w:rsidR="003E70CE" w:rsidRPr="00BB2501" w:rsidRDefault="003E70CE" w:rsidP="003E70CE">
      <w:pPr>
        <w:pStyle w:val="Odsekzoznamu"/>
        <w:jc w:val="both"/>
        <w:rPr>
          <w:rFonts w:cstheme="minorHAnsi"/>
        </w:rPr>
      </w:pPr>
    </w:p>
    <w:p w14:paraId="56A3B63F" w14:textId="77777777" w:rsidR="003E70CE" w:rsidRPr="00BB2501" w:rsidRDefault="003E70CE" w:rsidP="003E70CE">
      <w:pPr>
        <w:jc w:val="both"/>
        <w:rPr>
          <w:rFonts w:eastAsia="Times New Roman" w:cstheme="minorHAnsi"/>
          <w:color w:val="000000"/>
          <w:lang w:eastAsia="sk-SK"/>
        </w:rPr>
      </w:pPr>
      <w:r w:rsidRPr="00BB2501">
        <w:rPr>
          <w:rFonts w:cstheme="minorHAnsi"/>
          <w:u w:val="single"/>
        </w:rPr>
        <w:t>Vykonávanie výkonu :</w:t>
      </w:r>
      <w:r w:rsidRPr="00BB2501">
        <w:rPr>
          <w:rFonts w:eastAsia="Times New Roman" w:cstheme="minorHAnsi"/>
          <w:color w:val="000000"/>
          <w:lang w:eastAsia="sk-SK"/>
        </w:rPr>
        <w:t xml:space="preserve"> </w:t>
      </w:r>
    </w:p>
    <w:p w14:paraId="61936A39" w14:textId="77777777" w:rsidR="003E70CE" w:rsidRPr="00BB2501" w:rsidRDefault="003E70CE" w:rsidP="003E70CE">
      <w:pPr>
        <w:jc w:val="both"/>
        <w:rPr>
          <w:rFonts w:cstheme="minorHAnsi"/>
        </w:rPr>
      </w:pPr>
      <w:r w:rsidRPr="00BB2501">
        <w:rPr>
          <w:rFonts w:cstheme="minorHAnsi"/>
        </w:rPr>
        <w:t>výkon vykonáva lekár so špecializáciou psychiatria, detská psychiatria, gerontopsychiatria a klinický psychológ</w:t>
      </w:r>
    </w:p>
    <w:p w14:paraId="6F5EF6A7" w14:textId="77777777" w:rsidR="003E70CE" w:rsidRPr="00BB2501" w:rsidRDefault="003E70CE" w:rsidP="003E70CE">
      <w:pPr>
        <w:jc w:val="both"/>
        <w:rPr>
          <w:rFonts w:cstheme="minorHAnsi"/>
          <w:color w:val="FF0000"/>
        </w:rPr>
      </w:pPr>
      <w:r w:rsidRPr="00BB2501">
        <w:rPr>
          <w:rFonts w:cstheme="minorHAnsi"/>
          <w:u w:val="single"/>
        </w:rPr>
        <w:t xml:space="preserve">Cena výkonu:  </w:t>
      </w:r>
    </w:p>
    <w:p w14:paraId="29295EBA" w14:textId="77777777" w:rsidR="003E70CE" w:rsidRPr="00BB2501" w:rsidRDefault="003E70CE" w:rsidP="003E70CE">
      <w:pPr>
        <w:pStyle w:val="Odsekzoznamu"/>
        <w:numPr>
          <w:ilvl w:val="0"/>
          <w:numId w:val="4"/>
        </w:numPr>
        <w:jc w:val="both"/>
        <w:rPr>
          <w:rFonts w:cstheme="minorHAnsi"/>
        </w:rPr>
      </w:pPr>
      <w:r w:rsidRPr="00BB2501">
        <w:rPr>
          <w:rFonts w:cstheme="minorHAnsi"/>
        </w:rPr>
        <w:t>1000 b</w:t>
      </w:r>
    </w:p>
    <w:p w14:paraId="7195C62F" w14:textId="77777777" w:rsidR="003E70CE" w:rsidRDefault="003E70CE" w:rsidP="002C1E46">
      <w:pPr>
        <w:jc w:val="both"/>
      </w:pPr>
    </w:p>
    <w:sectPr w:rsidR="003E70CE" w:rsidSect="006840BE">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815B" w14:textId="77777777" w:rsidR="00B30119" w:rsidRDefault="00B30119" w:rsidP="00AC4CBC">
      <w:pPr>
        <w:spacing w:after="0" w:line="240" w:lineRule="auto"/>
      </w:pPr>
      <w:r>
        <w:separator/>
      </w:r>
    </w:p>
  </w:endnote>
  <w:endnote w:type="continuationSeparator" w:id="0">
    <w:p w14:paraId="753E1245" w14:textId="77777777" w:rsidR="00B30119" w:rsidRDefault="00B30119" w:rsidP="00AC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5EBE" w14:textId="77777777" w:rsidR="00B30119" w:rsidRDefault="00B30119" w:rsidP="00AC4CBC">
      <w:pPr>
        <w:spacing w:after="0" w:line="240" w:lineRule="auto"/>
      </w:pPr>
      <w:r>
        <w:separator/>
      </w:r>
    </w:p>
  </w:footnote>
  <w:footnote w:type="continuationSeparator" w:id="0">
    <w:p w14:paraId="722F0133" w14:textId="77777777" w:rsidR="00B30119" w:rsidRDefault="00B30119" w:rsidP="00AC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31"/>
    <w:multiLevelType w:val="hybridMultilevel"/>
    <w:tmpl w:val="08145E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F43D0E"/>
    <w:multiLevelType w:val="hybridMultilevel"/>
    <w:tmpl w:val="2592C4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BFB7A41"/>
    <w:multiLevelType w:val="hybridMultilevel"/>
    <w:tmpl w:val="374CD4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753EB0"/>
    <w:multiLevelType w:val="hybridMultilevel"/>
    <w:tmpl w:val="45506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7C1EA9"/>
    <w:multiLevelType w:val="hybridMultilevel"/>
    <w:tmpl w:val="6AF6D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655D09"/>
    <w:multiLevelType w:val="hybridMultilevel"/>
    <w:tmpl w:val="E978292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40"/>
    <w:rsid w:val="0008417C"/>
    <w:rsid w:val="000B0B96"/>
    <w:rsid w:val="000C42EC"/>
    <w:rsid w:val="000F2AD2"/>
    <w:rsid w:val="00113D43"/>
    <w:rsid w:val="001750AF"/>
    <w:rsid w:val="001A4584"/>
    <w:rsid w:val="002764A0"/>
    <w:rsid w:val="00296A3E"/>
    <w:rsid w:val="002C13F3"/>
    <w:rsid w:val="002C1E46"/>
    <w:rsid w:val="002C2448"/>
    <w:rsid w:val="002E3821"/>
    <w:rsid w:val="003A7722"/>
    <w:rsid w:val="003E70CE"/>
    <w:rsid w:val="00402103"/>
    <w:rsid w:val="0041364D"/>
    <w:rsid w:val="0043415B"/>
    <w:rsid w:val="004431B5"/>
    <w:rsid w:val="00467F7C"/>
    <w:rsid w:val="004F7D08"/>
    <w:rsid w:val="00504DAF"/>
    <w:rsid w:val="00513836"/>
    <w:rsid w:val="00527E3B"/>
    <w:rsid w:val="005710DD"/>
    <w:rsid w:val="0059735C"/>
    <w:rsid w:val="005C3564"/>
    <w:rsid w:val="005D732B"/>
    <w:rsid w:val="00621FE5"/>
    <w:rsid w:val="006840BE"/>
    <w:rsid w:val="006A58C4"/>
    <w:rsid w:val="006F31E0"/>
    <w:rsid w:val="00732D30"/>
    <w:rsid w:val="00745DB2"/>
    <w:rsid w:val="00772C3F"/>
    <w:rsid w:val="0078549C"/>
    <w:rsid w:val="007B14A7"/>
    <w:rsid w:val="007E0751"/>
    <w:rsid w:val="008430A6"/>
    <w:rsid w:val="00937107"/>
    <w:rsid w:val="00937D29"/>
    <w:rsid w:val="009767F5"/>
    <w:rsid w:val="009C266E"/>
    <w:rsid w:val="009F5ECB"/>
    <w:rsid w:val="00A361A9"/>
    <w:rsid w:val="00A5373B"/>
    <w:rsid w:val="00A74F01"/>
    <w:rsid w:val="00AC3587"/>
    <w:rsid w:val="00AC4CBC"/>
    <w:rsid w:val="00B01540"/>
    <w:rsid w:val="00B10505"/>
    <w:rsid w:val="00B11686"/>
    <w:rsid w:val="00B16FE7"/>
    <w:rsid w:val="00B30119"/>
    <w:rsid w:val="00B40CB8"/>
    <w:rsid w:val="00B90D36"/>
    <w:rsid w:val="00BB2501"/>
    <w:rsid w:val="00BD0B33"/>
    <w:rsid w:val="00BE667A"/>
    <w:rsid w:val="00C214E5"/>
    <w:rsid w:val="00C37232"/>
    <w:rsid w:val="00C51DD0"/>
    <w:rsid w:val="00C83956"/>
    <w:rsid w:val="00C97D10"/>
    <w:rsid w:val="00CC4A00"/>
    <w:rsid w:val="00D36A64"/>
    <w:rsid w:val="00D37F3F"/>
    <w:rsid w:val="00D43474"/>
    <w:rsid w:val="00D64F14"/>
    <w:rsid w:val="00DA3F3C"/>
    <w:rsid w:val="00DF30A2"/>
    <w:rsid w:val="00E23AAE"/>
    <w:rsid w:val="00E30236"/>
    <w:rsid w:val="00E75D50"/>
    <w:rsid w:val="00E87B7B"/>
    <w:rsid w:val="00EA6249"/>
    <w:rsid w:val="00EB7855"/>
    <w:rsid w:val="00ED1889"/>
    <w:rsid w:val="00F244BC"/>
    <w:rsid w:val="00F75BE0"/>
    <w:rsid w:val="00FB0018"/>
    <w:rsid w:val="00FD6D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17BB"/>
  <w15:chartTrackingRefBased/>
  <w15:docId w15:val="{86A72EB9-87DF-4784-A0A9-6EFA2E59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01540"/>
    <w:pPr>
      <w:ind w:left="720"/>
      <w:contextualSpacing/>
    </w:pPr>
  </w:style>
  <w:style w:type="character" w:styleId="Odkaznakomentr">
    <w:name w:val="annotation reference"/>
    <w:basedOn w:val="Predvolenpsmoodseku"/>
    <w:uiPriority w:val="99"/>
    <w:semiHidden/>
    <w:unhideWhenUsed/>
    <w:rsid w:val="00BE667A"/>
    <w:rPr>
      <w:sz w:val="16"/>
      <w:szCs w:val="16"/>
    </w:rPr>
  </w:style>
  <w:style w:type="paragraph" w:styleId="Textkomentra">
    <w:name w:val="annotation text"/>
    <w:basedOn w:val="Normlny"/>
    <w:link w:val="TextkomentraChar"/>
    <w:uiPriority w:val="99"/>
    <w:semiHidden/>
    <w:unhideWhenUsed/>
    <w:rsid w:val="00BE667A"/>
    <w:pPr>
      <w:spacing w:line="240" w:lineRule="auto"/>
    </w:pPr>
    <w:rPr>
      <w:sz w:val="20"/>
      <w:szCs w:val="20"/>
    </w:rPr>
  </w:style>
  <w:style w:type="character" w:customStyle="1" w:styleId="TextkomentraChar">
    <w:name w:val="Text komentára Char"/>
    <w:basedOn w:val="Predvolenpsmoodseku"/>
    <w:link w:val="Textkomentra"/>
    <w:uiPriority w:val="99"/>
    <w:semiHidden/>
    <w:rsid w:val="00BE667A"/>
    <w:rPr>
      <w:sz w:val="20"/>
      <w:szCs w:val="20"/>
    </w:rPr>
  </w:style>
  <w:style w:type="paragraph" w:styleId="Predmetkomentra">
    <w:name w:val="annotation subject"/>
    <w:basedOn w:val="Textkomentra"/>
    <w:next w:val="Textkomentra"/>
    <w:link w:val="PredmetkomentraChar"/>
    <w:uiPriority w:val="99"/>
    <w:semiHidden/>
    <w:unhideWhenUsed/>
    <w:rsid w:val="00BE667A"/>
    <w:rPr>
      <w:b/>
      <w:bCs/>
    </w:rPr>
  </w:style>
  <w:style w:type="character" w:customStyle="1" w:styleId="PredmetkomentraChar">
    <w:name w:val="Predmet komentára Char"/>
    <w:basedOn w:val="TextkomentraChar"/>
    <w:link w:val="Predmetkomentra"/>
    <w:uiPriority w:val="99"/>
    <w:semiHidden/>
    <w:rsid w:val="00BE667A"/>
    <w:rPr>
      <w:b/>
      <w:bCs/>
      <w:sz w:val="20"/>
      <w:szCs w:val="20"/>
    </w:rPr>
  </w:style>
  <w:style w:type="paragraph" w:styleId="Textbubliny">
    <w:name w:val="Balloon Text"/>
    <w:basedOn w:val="Normlny"/>
    <w:link w:val="TextbublinyChar"/>
    <w:uiPriority w:val="99"/>
    <w:semiHidden/>
    <w:unhideWhenUsed/>
    <w:rsid w:val="00BE66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667A"/>
    <w:rPr>
      <w:rFonts w:ascii="Segoe UI" w:hAnsi="Segoe UI" w:cs="Segoe UI"/>
      <w:sz w:val="18"/>
      <w:szCs w:val="18"/>
    </w:rPr>
  </w:style>
  <w:style w:type="table" w:styleId="Mriekatabuky">
    <w:name w:val="Table Grid"/>
    <w:basedOn w:val="Normlnatabuka"/>
    <w:uiPriority w:val="39"/>
    <w:rsid w:val="00CC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643">
      <w:bodyDiv w:val="1"/>
      <w:marLeft w:val="0"/>
      <w:marRight w:val="0"/>
      <w:marTop w:val="0"/>
      <w:marBottom w:val="0"/>
      <w:divBdr>
        <w:top w:val="none" w:sz="0" w:space="0" w:color="auto"/>
        <w:left w:val="none" w:sz="0" w:space="0" w:color="auto"/>
        <w:bottom w:val="none" w:sz="0" w:space="0" w:color="auto"/>
        <w:right w:val="none" w:sz="0" w:space="0" w:color="auto"/>
      </w:divBdr>
    </w:div>
    <w:div w:id="550578953">
      <w:bodyDiv w:val="1"/>
      <w:marLeft w:val="0"/>
      <w:marRight w:val="0"/>
      <w:marTop w:val="0"/>
      <w:marBottom w:val="0"/>
      <w:divBdr>
        <w:top w:val="none" w:sz="0" w:space="0" w:color="auto"/>
        <w:left w:val="none" w:sz="0" w:space="0" w:color="auto"/>
        <w:bottom w:val="none" w:sz="0" w:space="0" w:color="auto"/>
        <w:right w:val="none" w:sz="0" w:space="0" w:color="auto"/>
      </w:divBdr>
    </w:div>
    <w:div w:id="836192762">
      <w:bodyDiv w:val="1"/>
      <w:marLeft w:val="0"/>
      <w:marRight w:val="0"/>
      <w:marTop w:val="0"/>
      <w:marBottom w:val="0"/>
      <w:divBdr>
        <w:top w:val="none" w:sz="0" w:space="0" w:color="auto"/>
        <w:left w:val="none" w:sz="0" w:space="0" w:color="auto"/>
        <w:bottom w:val="none" w:sz="0" w:space="0" w:color="auto"/>
        <w:right w:val="none" w:sz="0" w:space="0" w:color="auto"/>
      </w:divBdr>
    </w:div>
    <w:div w:id="1319068614">
      <w:bodyDiv w:val="1"/>
      <w:marLeft w:val="0"/>
      <w:marRight w:val="0"/>
      <w:marTop w:val="0"/>
      <w:marBottom w:val="0"/>
      <w:divBdr>
        <w:top w:val="none" w:sz="0" w:space="0" w:color="auto"/>
        <w:left w:val="none" w:sz="0" w:space="0" w:color="auto"/>
        <w:bottom w:val="none" w:sz="0" w:space="0" w:color="auto"/>
        <w:right w:val="none" w:sz="0" w:space="0" w:color="auto"/>
      </w:divBdr>
    </w:div>
    <w:div w:id="19098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1657</Words>
  <Characters>11056</Characters>
  <Application>Microsoft Office Word</Application>
  <DocSecurity>0</DocSecurity>
  <Lines>260</Lines>
  <Paragraphs>157</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Ďurkovič Martin</dc:creator>
  <cp:keywords/>
  <dc:description/>
  <cp:lastModifiedBy>Ďurkovič Martin</cp:lastModifiedBy>
  <cp:revision>3</cp:revision>
  <dcterms:created xsi:type="dcterms:W3CDTF">2020-04-22T11:42:00Z</dcterms:created>
  <dcterms:modified xsi:type="dcterms:W3CDTF">2020-04-22T11:44:00Z</dcterms:modified>
  <cp:category>verejné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vera-DocumentTagging.ClassificationMark.P00">
    <vt:lpwstr>&lt;ClassificationMark xmlns:xsi="http://www.w3.org/2001/XMLSchema-instance" xmlns:xsd="http://www.w3.org/2001/XMLSchema" margin="NaN" class="C0" owner="Ďurkovič Martin" position="TopRight" marginX="0" marginY="0" classifiedOn="2020-04-22T13:41:49.44512</vt:lpwstr>
  </property>
  <property fmtid="{D5CDD505-2E9C-101B-9397-08002B2CF9AE}" pid="3" name="Dovera-DocumentTagging.ClassificationMark.P01">
    <vt:lpwstr>86+02:00" showPrintedBy="false" showPrintDate="false" language="sk" ApplicationVersion="Microsoft Word, 16.0" addinVersion="6.0.10.3" template="AEC"&gt;&lt;history bulk="false" class="verejné" code="C0" user="Ďurkovič Martin" date="2020-04-22T13:41:49.4451</vt:lpwstr>
  </property>
  <property fmtid="{D5CDD505-2E9C-101B-9397-08002B2CF9AE}" pid="4" name="Dovera-DocumentTagging.ClassificationMark.P02">
    <vt:lpwstr>286+02:00" /&gt;&lt;documentOwners /&gt;&lt;/ClassificationMark&gt;</vt:lpwstr>
  </property>
  <property fmtid="{D5CDD505-2E9C-101B-9397-08002B2CF9AE}" pid="5" name="Dovera-DocumentTagging.ClassificationMark">
    <vt:lpwstr>￼PARTS:3</vt:lpwstr>
  </property>
  <property fmtid="{D5CDD505-2E9C-101B-9397-08002B2CF9AE}" pid="6" name="Dovera-DocumentClasification">
    <vt:lpwstr>verejné</vt:lpwstr>
  </property>
  <property fmtid="{D5CDD505-2E9C-101B-9397-08002B2CF9AE}" pid="7" name="Dovera-dlp">
    <vt:lpwstr>Dovera-dlp:TAG_V</vt:lpwstr>
  </property>
</Properties>
</file>