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1" w:rsidRPr="00056E6B" w:rsidRDefault="001A1221" w:rsidP="001A1221">
      <w:pPr>
        <w:pStyle w:val="Default"/>
        <w:jc w:val="center"/>
        <w:rPr>
          <w:rFonts w:asciiTheme="minorHAnsi" w:hAnsiTheme="minorHAnsi"/>
          <w:iCs/>
          <w:color w:val="auto"/>
        </w:rPr>
      </w:pPr>
      <w:r w:rsidRPr="00056E6B">
        <w:rPr>
          <w:rFonts w:asciiTheme="minorHAnsi" w:hAnsiTheme="minorHAnsi"/>
          <w:iCs/>
          <w:color w:val="auto"/>
        </w:rPr>
        <w:t>Návrh ZVLD SR o.z. k úhradovému mechanizmu (ÚHM) ŠAS v rámci spoločnej úhradovej legislatívy pre celý ambulantný sektor</w:t>
      </w:r>
    </w:p>
    <w:p w:rsidR="001A1221" w:rsidRDefault="001A1221" w:rsidP="001A1221">
      <w:pPr>
        <w:pStyle w:val="Default"/>
        <w:jc w:val="center"/>
        <w:rPr>
          <w:b/>
          <w:iCs/>
          <w:color w:val="FF0000"/>
        </w:rPr>
      </w:pPr>
    </w:p>
    <w:p w:rsidR="001A1221" w:rsidRDefault="001A1221" w:rsidP="001A1221">
      <w:pPr>
        <w:pStyle w:val="Default"/>
        <w:jc w:val="center"/>
        <w:rPr>
          <w:b/>
          <w:iCs/>
          <w:color w:val="FF0000"/>
        </w:rPr>
      </w:pPr>
      <w:r>
        <w:rPr>
          <w:b/>
          <w:iCs/>
          <w:noProof/>
          <w:color w:val="FF0000"/>
          <w:lang w:eastAsia="sk-SK"/>
        </w:rPr>
        <w:drawing>
          <wp:inline distT="0" distB="0" distL="0" distR="0">
            <wp:extent cx="1053611" cy="1053611"/>
            <wp:effectExtent l="19050" t="0" r="0" b="0"/>
            <wp:docPr id="2" name="Obrázok 1" descr="logo-c52f759b36521c23db2c6cddb713bd3be84f06e9871e3860a92a50447db5d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52f759b36521c23db2c6cddb713bd3be84f06e9871e3860a92a50447db5d2b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29" cy="105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221" w:rsidRDefault="001A1221" w:rsidP="001A1221">
      <w:pPr>
        <w:pStyle w:val="Default"/>
        <w:jc w:val="center"/>
        <w:rPr>
          <w:b/>
          <w:iCs/>
          <w:color w:val="FF0000"/>
        </w:rPr>
      </w:pPr>
    </w:p>
    <w:p w:rsidR="00842A07" w:rsidRPr="00056E6B" w:rsidRDefault="001A1221" w:rsidP="001A1221">
      <w:pPr>
        <w:pStyle w:val="Default"/>
        <w:jc w:val="center"/>
        <w:rPr>
          <w:rFonts w:asciiTheme="minorHAnsi" w:hAnsiTheme="minorHAnsi"/>
          <w:b/>
          <w:iCs/>
          <w:color w:val="auto"/>
        </w:rPr>
      </w:pPr>
      <w:r w:rsidRPr="00056E6B">
        <w:rPr>
          <w:rFonts w:asciiTheme="minorHAnsi" w:hAnsiTheme="minorHAnsi"/>
          <w:b/>
          <w:iCs/>
          <w:color w:val="auto"/>
        </w:rPr>
        <w:t xml:space="preserve">Spoločná pracovná skupina VLD SR </w:t>
      </w:r>
    </w:p>
    <w:p w:rsidR="001A1221" w:rsidRPr="00056E6B" w:rsidRDefault="00842A07" w:rsidP="001A1221">
      <w:pPr>
        <w:pStyle w:val="Default"/>
        <w:jc w:val="center"/>
        <w:rPr>
          <w:rFonts w:asciiTheme="minorHAnsi" w:hAnsiTheme="minorHAnsi"/>
          <w:iCs/>
          <w:color w:val="auto"/>
        </w:rPr>
      </w:pPr>
      <w:r w:rsidRPr="00056E6B">
        <w:rPr>
          <w:rFonts w:asciiTheme="minorHAnsi" w:hAnsiTheme="minorHAnsi"/>
          <w:iCs/>
          <w:color w:val="auto"/>
        </w:rPr>
        <w:t>iniciovaná na pracovnom stretnutí zástupcov VLD SR 12.12.2019</w:t>
      </w:r>
      <w:r w:rsidR="00AE2A40">
        <w:rPr>
          <w:rFonts w:asciiTheme="minorHAnsi" w:hAnsiTheme="minorHAnsi"/>
          <w:iCs/>
          <w:color w:val="auto"/>
        </w:rPr>
        <w:t xml:space="preserve"> vo Zvolene</w:t>
      </w:r>
    </w:p>
    <w:p w:rsidR="001A1221" w:rsidRPr="00056E6B" w:rsidRDefault="001A1221" w:rsidP="0051091B">
      <w:pPr>
        <w:pStyle w:val="Default"/>
        <w:pBdr>
          <w:bottom w:val="single" w:sz="6" w:space="1" w:color="auto"/>
        </w:pBdr>
        <w:jc w:val="both"/>
        <w:rPr>
          <w:rFonts w:asciiTheme="minorHAnsi" w:hAnsiTheme="minorHAnsi"/>
          <w:b/>
          <w:iCs/>
          <w:color w:val="FF0000"/>
        </w:rPr>
      </w:pPr>
    </w:p>
    <w:p w:rsidR="001A1221" w:rsidRPr="00056E6B" w:rsidRDefault="001A1221" w:rsidP="0051091B">
      <w:pPr>
        <w:pStyle w:val="Default"/>
        <w:jc w:val="both"/>
        <w:rPr>
          <w:rFonts w:asciiTheme="minorHAnsi" w:hAnsiTheme="minorHAnsi"/>
          <w:b/>
          <w:iCs/>
          <w:color w:val="FF0000"/>
        </w:rPr>
      </w:pPr>
    </w:p>
    <w:p w:rsidR="001A1221" w:rsidRPr="00056E6B" w:rsidRDefault="00842A07" w:rsidP="00842A07">
      <w:pPr>
        <w:pStyle w:val="Default"/>
        <w:jc w:val="center"/>
        <w:rPr>
          <w:rFonts w:asciiTheme="minorHAnsi" w:hAnsiTheme="minorHAnsi"/>
          <w:b/>
          <w:iCs/>
          <w:color w:val="auto"/>
        </w:rPr>
      </w:pPr>
      <w:r w:rsidRPr="00056E6B">
        <w:rPr>
          <w:rFonts w:asciiTheme="minorHAnsi" w:hAnsiTheme="minorHAnsi"/>
          <w:b/>
          <w:iCs/>
          <w:color w:val="auto"/>
        </w:rPr>
        <w:t xml:space="preserve"> I. VÝCHODISKÁ:</w:t>
      </w:r>
    </w:p>
    <w:p w:rsidR="00550577" w:rsidRPr="00056E6B" w:rsidRDefault="00550577" w:rsidP="00842A07">
      <w:pPr>
        <w:pStyle w:val="Default"/>
        <w:jc w:val="center"/>
        <w:rPr>
          <w:rFonts w:asciiTheme="minorHAnsi" w:hAnsiTheme="minorHAnsi"/>
          <w:iCs/>
          <w:color w:val="auto"/>
        </w:rPr>
      </w:pPr>
      <w:r w:rsidRPr="00056E6B">
        <w:rPr>
          <w:rFonts w:asciiTheme="minorHAnsi" w:hAnsiTheme="minorHAnsi"/>
          <w:iCs/>
          <w:color w:val="auto"/>
        </w:rPr>
        <w:t>(Revízia výdavkov na zdravotníctvo II – október 2019)</w:t>
      </w:r>
    </w:p>
    <w:p w:rsidR="001A1221" w:rsidRPr="00056E6B" w:rsidRDefault="001A1221" w:rsidP="0051091B">
      <w:pPr>
        <w:pStyle w:val="Default"/>
        <w:jc w:val="both"/>
        <w:rPr>
          <w:rFonts w:asciiTheme="minorHAnsi" w:hAnsiTheme="minorHAnsi"/>
          <w:iCs/>
          <w:color w:val="auto"/>
        </w:rPr>
      </w:pPr>
    </w:p>
    <w:p w:rsidR="008A6B83" w:rsidRPr="00056E6B" w:rsidRDefault="008A6B83" w:rsidP="001A1221">
      <w:pPr>
        <w:pStyle w:val="Default"/>
        <w:jc w:val="both"/>
        <w:rPr>
          <w:rFonts w:asciiTheme="minorHAnsi" w:hAnsiTheme="minorHAnsi"/>
          <w:bCs/>
        </w:rPr>
      </w:pPr>
      <w:r w:rsidRPr="00056E6B">
        <w:rPr>
          <w:rFonts w:asciiTheme="minorHAnsi" w:hAnsiTheme="minorHAnsi"/>
          <w:iCs/>
          <w:color w:val="auto"/>
        </w:rPr>
        <w:t>Zdravotníctvo je po starobných dôchodkoch najväčšia výdavková oblasť slovenských verejných financií</w:t>
      </w:r>
      <w:r w:rsidRPr="00056E6B">
        <w:rPr>
          <w:rFonts w:asciiTheme="minorHAnsi" w:hAnsiTheme="minorHAnsi"/>
          <w:b/>
          <w:iCs/>
          <w:color w:val="FF0000"/>
        </w:rPr>
        <w:t xml:space="preserve"> </w:t>
      </w:r>
      <w:r w:rsidRPr="00056E6B">
        <w:rPr>
          <w:rFonts w:asciiTheme="minorHAnsi" w:hAnsiTheme="minorHAnsi"/>
          <w:iCs/>
          <w:color w:val="auto"/>
        </w:rPr>
        <w:t xml:space="preserve">s veľkým potenciálom pre zlepšenie celkovej kvality života občanov. </w:t>
      </w:r>
      <w:r w:rsidRPr="00056E6B">
        <w:rPr>
          <w:rFonts w:asciiTheme="minorHAnsi" w:hAnsiTheme="minorHAnsi"/>
          <w:b/>
          <w:bCs/>
        </w:rPr>
        <w:t>Zdravotníctvo musí byť prioritou slovenskej verejnej politiky</w:t>
      </w:r>
      <w:r w:rsidR="001A34C5" w:rsidRPr="00056E6B">
        <w:rPr>
          <w:rFonts w:asciiTheme="minorHAnsi" w:hAnsiTheme="minorHAnsi"/>
          <w:b/>
          <w:bCs/>
        </w:rPr>
        <w:t xml:space="preserve"> z troch dôvodov:</w:t>
      </w:r>
      <w:r w:rsidR="001A1221" w:rsidRPr="00056E6B">
        <w:rPr>
          <w:rFonts w:asciiTheme="minorHAnsi" w:hAnsiTheme="minorHAnsi"/>
          <w:b/>
          <w:bCs/>
        </w:rPr>
        <w:t xml:space="preserve"> </w:t>
      </w:r>
      <w:r w:rsidR="00077D05" w:rsidRPr="00056E6B">
        <w:rPr>
          <w:rFonts w:asciiTheme="minorHAnsi" w:hAnsiTheme="minorHAnsi"/>
          <w:bCs/>
        </w:rPr>
        <w:t xml:space="preserve">1/ </w:t>
      </w:r>
      <w:r w:rsidRPr="00056E6B">
        <w:rPr>
          <w:rFonts w:asciiTheme="minorHAnsi" w:hAnsiTheme="minorHAnsi"/>
          <w:bCs/>
        </w:rPr>
        <w:t xml:space="preserve">potenciál zlepšenia blahobytu občanov, </w:t>
      </w:r>
      <w:r w:rsidR="00077D05" w:rsidRPr="00056E6B">
        <w:rPr>
          <w:rFonts w:asciiTheme="minorHAnsi" w:hAnsiTheme="minorHAnsi"/>
          <w:bCs/>
        </w:rPr>
        <w:t xml:space="preserve">2/ </w:t>
      </w:r>
      <w:r w:rsidRPr="00056E6B">
        <w:rPr>
          <w:rFonts w:asciiTheme="minorHAnsi" w:hAnsiTheme="minorHAnsi"/>
          <w:bCs/>
        </w:rPr>
        <w:t>veľkosť</w:t>
      </w:r>
      <w:r w:rsidR="001A34C5" w:rsidRPr="00056E6B">
        <w:rPr>
          <w:rFonts w:asciiTheme="minorHAnsi" w:hAnsiTheme="minorHAnsi"/>
          <w:bCs/>
        </w:rPr>
        <w:t xml:space="preserve"> sektora,</w:t>
      </w:r>
      <w:r w:rsidR="00077D05" w:rsidRPr="00056E6B">
        <w:rPr>
          <w:rFonts w:asciiTheme="minorHAnsi" w:hAnsiTheme="minorHAnsi"/>
          <w:bCs/>
        </w:rPr>
        <w:t xml:space="preserve"> 3/</w:t>
      </w:r>
      <w:r w:rsidRPr="00056E6B">
        <w:rPr>
          <w:rFonts w:asciiTheme="minorHAnsi" w:hAnsiTheme="minorHAnsi"/>
          <w:bCs/>
        </w:rPr>
        <w:t xml:space="preserve"> </w:t>
      </w:r>
      <w:r w:rsidR="00077D05" w:rsidRPr="00056E6B">
        <w:rPr>
          <w:rFonts w:asciiTheme="minorHAnsi" w:hAnsiTheme="minorHAnsi"/>
          <w:bCs/>
        </w:rPr>
        <w:t xml:space="preserve">relatívne </w:t>
      </w:r>
      <w:r w:rsidRPr="00056E6B">
        <w:rPr>
          <w:rFonts w:asciiTheme="minorHAnsi" w:hAnsiTheme="minorHAnsi"/>
          <w:bCs/>
        </w:rPr>
        <w:t>slabé výsledky.</w:t>
      </w:r>
    </w:p>
    <w:p w:rsidR="001A34C5" w:rsidRPr="00056E6B" w:rsidRDefault="001A34C5" w:rsidP="0051091B">
      <w:pPr>
        <w:ind w:left="0"/>
        <w:contextualSpacing/>
        <w:jc w:val="both"/>
        <w:rPr>
          <w:rFonts w:cs="Arial"/>
          <w:bCs/>
          <w:sz w:val="24"/>
          <w:szCs w:val="24"/>
        </w:rPr>
      </w:pPr>
    </w:p>
    <w:p w:rsidR="00077D05" w:rsidRPr="00056E6B" w:rsidRDefault="00077D05" w:rsidP="001A1221">
      <w:pPr>
        <w:ind w:left="0" w:right="0"/>
        <w:jc w:val="both"/>
        <w:rPr>
          <w:rFonts w:cs="Arial"/>
          <w:b/>
          <w:bCs/>
          <w:sz w:val="24"/>
          <w:szCs w:val="24"/>
        </w:rPr>
      </w:pPr>
      <w:r w:rsidRPr="00056E6B">
        <w:rPr>
          <w:rFonts w:cs="Arial"/>
          <w:bCs/>
          <w:sz w:val="24"/>
          <w:szCs w:val="24"/>
        </w:rPr>
        <w:t>Verejné výdavky na zdravotníctvo rastú a zodpovedajú možnostiam ekonomiky.</w:t>
      </w:r>
      <w:r w:rsidR="00523DED" w:rsidRPr="00056E6B">
        <w:rPr>
          <w:rFonts w:cs="Arial"/>
          <w:b/>
          <w:bCs/>
          <w:sz w:val="24"/>
          <w:szCs w:val="24"/>
        </w:rPr>
        <w:t xml:space="preserve"> </w:t>
      </w:r>
      <w:r w:rsidRPr="00056E6B">
        <w:rPr>
          <w:rFonts w:cs="Arial"/>
          <w:sz w:val="24"/>
          <w:szCs w:val="24"/>
        </w:rPr>
        <w:t>V roku 2020 dosiahnu 5,6 mld. eur. Za posledných 10 rokov narástli o 44 %, zatiaľ čo HDP o 40 %. Slovenské verejné výdavky na zdravotníctvo sú 5,7 % HDP, čo je viac ako priemer krajín V3 (5,1 %) a menej ako priemer EÚ15 (7,2 %).</w:t>
      </w:r>
      <w:r w:rsidR="00C12958" w:rsidRPr="00056E6B">
        <w:rPr>
          <w:rFonts w:cs="Arial"/>
          <w:sz w:val="24"/>
          <w:szCs w:val="24"/>
        </w:rPr>
        <w:t xml:space="preserve"> </w:t>
      </w:r>
    </w:p>
    <w:p w:rsidR="001A34C5" w:rsidRPr="00056E6B" w:rsidRDefault="00077D05" w:rsidP="00FD327C">
      <w:pPr>
        <w:ind w:left="0" w:right="0"/>
        <w:jc w:val="both"/>
      </w:pPr>
      <w:r w:rsidRPr="00056E6B">
        <w:rPr>
          <w:rFonts w:cs="Arial"/>
          <w:b/>
          <w:bCs/>
          <w:sz w:val="24"/>
          <w:szCs w:val="24"/>
        </w:rPr>
        <w:t xml:space="preserve">Nižšiu hodnotu za peniaze v slovenskom zdravotníctve spôsobuje neefektívna alokácia zdrojov. </w:t>
      </w:r>
      <w:r w:rsidRPr="00056E6B">
        <w:rPr>
          <w:rFonts w:cs="Arial"/>
          <w:sz w:val="24"/>
          <w:szCs w:val="24"/>
        </w:rPr>
        <w:t>Slovensko má v porovnaní s inými krajinami vysoké výdavky na lieky, diagnostiku a vyšetrenia u špecialistov spôsobené nadmerným počtom návštev.</w:t>
      </w:r>
      <w:r w:rsidR="00842A07" w:rsidRPr="00056E6B">
        <w:rPr>
          <w:rFonts w:cs="Arial"/>
          <w:sz w:val="24"/>
          <w:szCs w:val="24"/>
        </w:rPr>
        <w:t xml:space="preserve"> Podľa OECD (2017) </w:t>
      </w:r>
      <w:r w:rsidR="00842A07" w:rsidRPr="00056E6B">
        <w:rPr>
          <w:rFonts w:cs="Arial"/>
          <w:b/>
          <w:sz w:val="24"/>
          <w:szCs w:val="24"/>
        </w:rPr>
        <w:t>dobre fungujúci zdravotný systém vyžaduje o.i. správne nastavený mechanizmus financovania.</w:t>
      </w:r>
      <w:r w:rsidR="00FD327C" w:rsidRPr="00056E6B">
        <w:rPr>
          <w:rFonts w:cs="Arial"/>
          <w:bCs/>
          <w:sz w:val="24"/>
          <w:szCs w:val="24"/>
        </w:rPr>
        <w:t xml:space="preserve"> </w:t>
      </w:r>
    </w:p>
    <w:p w:rsidR="001A34C5" w:rsidRPr="00640A21" w:rsidRDefault="00BB417D" w:rsidP="0051091B">
      <w:pPr>
        <w:pStyle w:val="Default"/>
        <w:jc w:val="both"/>
        <w:rPr>
          <w:rFonts w:asciiTheme="minorHAnsi" w:hAnsiTheme="minorHAnsi"/>
          <w:b/>
          <w:color w:val="FF0000"/>
        </w:rPr>
      </w:pPr>
      <w:r w:rsidRPr="00056E6B">
        <w:rPr>
          <w:rFonts w:asciiTheme="minorHAnsi" w:hAnsiTheme="minorHAnsi"/>
          <w:bCs/>
        </w:rPr>
        <w:t>Najvážnejším personálnym problémom v zdravotníctve nie je výška platu,</w:t>
      </w:r>
      <w:r w:rsidRPr="00056E6B">
        <w:rPr>
          <w:rFonts w:asciiTheme="minorHAnsi" w:hAnsiTheme="minorHAnsi"/>
          <w:b/>
          <w:bCs/>
        </w:rPr>
        <w:t xml:space="preserve"> </w:t>
      </w:r>
      <w:r w:rsidRPr="00056E6B">
        <w:rPr>
          <w:rFonts w:asciiTheme="minorHAnsi" w:hAnsiTheme="minorHAnsi"/>
          <w:bCs/>
        </w:rPr>
        <w:t>ale nedostatok sestier, veková štruktúra lekárov aj sestier a rozloženie lekárov medzi špecializáciami.</w:t>
      </w:r>
      <w:r w:rsidRPr="00056E6B">
        <w:rPr>
          <w:rFonts w:asciiTheme="minorHAnsi" w:hAnsiTheme="minorHAnsi"/>
          <w:b/>
          <w:bCs/>
        </w:rPr>
        <w:t xml:space="preserve"> </w:t>
      </w:r>
      <w:r w:rsidR="001A34C5" w:rsidRPr="00640A21">
        <w:rPr>
          <w:rFonts w:asciiTheme="minorHAnsi" w:hAnsiTheme="minorHAnsi"/>
          <w:b/>
          <w:color w:val="FF0000"/>
        </w:rPr>
        <w:t xml:space="preserve">Na jedného všeobecného lekára pripadajú až traja špecialisti, kým v západných krajinách je špecialistov len o 60 % viac ako všeobecných lekárov. </w:t>
      </w:r>
    </w:p>
    <w:p w:rsidR="001A34C5" w:rsidRPr="00056E6B" w:rsidRDefault="001A34C5" w:rsidP="0051091B">
      <w:pPr>
        <w:pStyle w:val="Default"/>
        <w:jc w:val="both"/>
        <w:rPr>
          <w:rFonts w:asciiTheme="minorHAnsi" w:hAnsiTheme="minorHAnsi"/>
        </w:rPr>
      </w:pPr>
    </w:p>
    <w:p w:rsidR="004E2563" w:rsidRPr="00640A21" w:rsidRDefault="001A34C5" w:rsidP="0051091B">
      <w:pPr>
        <w:pStyle w:val="Default"/>
        <w:jc w:val="both"/>
        <w:rPr>
          <w:rFonts w:asciiTheme="minorHAnsi" w:hAnsiTheme="minorHAnsi"/>
          <w:color w:val="auto"/>
        </w:rPr>
      </w:pPr>
      <w:r w:rsidRPr="00640A21">
        <w:rPr>
          <w:rFonts w:asciiTheme="minorHAnsi" w:hAnsiTheme="minorHAnsi"/>
          <w:color w:val="auto"/>
        </w:rPr>
        <w:t>Až 43 % všeobecných lekárov a 20 % sestier má viac ako 60 rokov. Chýba minimálne 3 600 zdravotných sestier.</w:t>
      </w:r>
      <w:r w:rsidR="004E2563" w:rsidRPr="00640A21">
        <w:rPr>
          <w:rFonts w:asciiTheme="minorHAnsi" w:hAnsiTheme="minorHAnsi"/>
          <w:bCs/>
          <w:color w:val="auto"/>
        </w:rPr>
        <w:t xml:space="preserve"> </w:t>
      </w:r>
    </w:p>
    <w:p w:rsidR="004E2563" w:rsidRPr="00056E6B" w:rsidRDefault="004E2563" w:rsidP="0051091B">
      <w:pPr>
        <w:pStyle w:val="Default"/>
        <w:jc w:val="both"/>
        <w:rPr>
          <w:rFonts w:asciiTheme="minorHAnsi" w:hAnsiTheme="minorHAnsi"/>
        </w:rPr>
      </w:pPr>
    </w:p>
    <w:p w:rsidR="004E2563" w:rsidRPr="00056E6B" w:rsidRDefault="004E2563" w:rsidP="0051091B">
      <w:pPr>
        <w:pStyle w:val="Default"/>
        <w:jc w:val="both"/>
        <w:rPr>
          <w:rFonts w:asciiTheme="minorHAnsi" w:hAnsiTheme="minorHAnsi"/>
        </w:rPr>
      </w:pPr>
      <w:r w:rsidRPr="00056E6B">
        <w:rPr>
          <w:rFonts w:asciiTheme="minorHAnsi" w:hAnsiTheme="minorHAnsi"/>
        </w:rPr>
        <w:t xml:space="preserve">Platy slovenských lekárov a zdravotných sestier, vyjadrené ako násobok priemernej mzdy, teda so zohľadnením ekonomickej úrovne Slovenska, sú porovnateľné s ostatnými európskymi krajinami. Každoročne rastú podľa priemernej mzdy v ekonomike vďaka platovému automatu. </w:t>
      </w:r>
    </w:p>
    <w:p w:rsidR="0078296D" w:rsidRPr="00056E6B" w:rsidRDefault="0078296D" w:rsidP="0051091B">
      <w:pPr>
        <w:pStyle w:val="Default"/>
        <w:jc w:val="both"/>
        <w:rPr>
          <w:rFonts w:asciiTheme="minorHAnsi" w:hAnsiTheme="minorHAnsi"/>
        </w:rPr>
      </w:pPr>
    </w:p>
    <w:p w:rsidR="001531BE" w:rsidRPr="00056E6B" w:rsidRDefault="001531BE" w:rsidP="001531BE">
      <w:pPr>
        <w:pStyle w:val="Odsekzoznamu"/>
        <w:numPr>
          <w:ilvl w:val="0"/>
          <w:numId w:val="1"/>
        </w:numPr>
        <w:ind w:right="0"/>
        <w:jc w:val="both"/>
        <w:rPr>
          <w:rFonts w:cs="Arial"/>
          <w:bCs/>
          <w:sz w:val="24"/>
          <w:szCs w:val="24"/>
        </w:rPr>
      </w:pPr>
      <w:r w:rsidRPr="00056E6B">
        <w:rPr>
          <w:rFonts w:cs="Arial"/>
          <w:bCs/>
          <w:sz w:val="24"/>
          <w:szCs w:val="24"/>
        </w:rPr>
        <w:t>Lepšia organizácia ambulantnej starostlivosti môže priniesť 207 mil. eur ročne</w:t>
      </w:r>
      <w:r w:rsidR="00531F2D" w:rsidRPr="00056E6B">
        <w:rPr>
          <w:rFonts w:cs="Arial"/>
          <w:sz w:val="24"/>
          <w:szCs w:val="24"/>
        </w:rPr>
        <w:t xml:space="preserve"> (</w:t>
      </w:r>
      <w:r w:rsidR="00531F2D" w:rsidRPr="00640A21">
        <w:rPr>
          <w:rFonts w:cs="Arial"/>
          <w:b/>
          <w:color w:val="FF0000"/>
          <w:sz w:val="24"/>
          <w:szCs w:val="24"/>
        </w:rPr>
        <w:t>o.i.</w:t>
      </w:r>
      <w:r w:rsidR="00531F2D" w:rsidRPr="00640A21">
        <w:rPr>
          <w:rFonts w:cs="Arial"/>
          <w:color w:val="FF0000"/>
          <w:sz w:val="24"/>
          <w:szCs w:val="24"/>
        </w:rPr>
        <w:t xml:space="preserve">  </w:t>
      </w:r>
      <w:r w:rsidR="00531F2D" w:rsidRPr="00640A21">
        <w:rPr>
          <w:rFonts w:cs="Arial"/>
          <w:b/>
          <w:color w:val="FF0000"/>
          <w:sz w:val="24"/>
          <w:szCs w:val="24"/>
        </w:rPr>
        <w:t>rozšírenie kompetencií VLD a súčasne zvýšenie počtu VLD</w:t>
      </w:r>
      <w:r w:rsidR="00531F2D" w:rsidRPr="00056E6B">
        <w:rPr>
          <w:rFonts w:cs="Arial"/>
          <w:sz w:val="24"/>
          <w:szCs w:val="24"/>
        </w:rPr>
        <w:t>)</w:t>
      </w:r>
    </w:p>
    <w:p w:rsidR="001531BE" w:rsidRPr="00056E6B" w:rsidRDefault="00077D05" w:rsidP="00FD327C">
      <w:pPr>
        <w:pStyle w:val="Odsekzoznamu"/>
        <w:numPr>
          <w:ilvl w:val="0"/>
          <w:numId w:val="1"/>
        </w:numPr>
        <w:ind w:right="0"/>
        <w:jc w:val="both"/>
        <w:rPr>
          <w:rFonts w:cs="Arial"/>
          <w:bCs/>
          <w:sz w:val="24"/>
          <w:szCs w:val="24"/>
        </w:rPr>
      </w:pPr>
      <w:r w:rsidRPr="00056E6B">
        <w:rPr>
          <w:rFonts w:cs="Arial"/>
          <w:bCs/>
          <w:sz w:val="24"/>
          <w:szCs w:val="24"/>
        </w:rPr>
        <w:t>V liekovej politike sú potenciálne úspory 216 mil. eur (</w:t>
      </w:r>
      <w:r w:rsidR="00EC4445" w:rsidRPr="00056E6B">
        <w:rPr>
          <w:rFonts w:cs="Arial"/>
          <w:bCs/>
          <w:sz w:val="24"/>
          <w:szCs w:val="24"/>
        </w:rPr>
        <w:t xml:space="preserve">o.i. </w:t>
      </w:r>
      <w:r w:rsidRPr="00056E6B">
        <w:rPr>
          <w:rFonts w:cs="Arial"/>
          <w:bCs/>
          <w:sz w:val="24"/>
          <w:szCs w:val="24"/>
        </w:rPr>
        <w:t>hodnotenie nákladovej  efektívnosti</w:t>
      </w:r>
      <w:r w:rsidR="0051091B" w:rsidRPr="00056E6B">
        <w:rPr>
          <w:rFonts w:cs="Arial"/>
          <w:bCs/>
          <w:sz w:val="24"/>
          <w:szCs w:val="24"/>
        </w:rPr>
        <w:t xml:space="preserve"> liekov</w:t>
      </w:r>
      <w:r w:rsidRPr="00056E6B">
        <w:rPr>
          <w:rFonts w:cs="Arial"/>
          <w:bCs/>
          <w:sz w:val="24"/>
          <w:szCs w:val="24"/>
        </w:rPr>
        <w:t>, centrálne nákupy)</w:t>
      </w:r>
      <w:r w:rsidR="001531BE" w:rsidRPr="00056E6B">
        <w:rPr>
          <w:rFonts w:cs="Arial"/>
          <w:bCs/>
          <w:sz w:val="24"/>
          <w:szCs w:val="24"/>
        </w:rPr>
        <w:t xml:space="preserve"> </w:t>
      </w:r>
    </w:p>
    <w:p w:rsidR="00077D05" w:rsidRPr="00056E6B" w:rsidRDefault="00077D05" w:rsidP="00FD327C">
      <w:pPr>
        <w:pStyle w:val="Odsekzoznamu"/>
        <w:numPr>
          <w:ilvl w:val="0"/>
          <w:numId w:val="1"/>
        </w:numPr>
        <w:ind w:right="0"/>
        <w:jc w:val="both"/>
        <w:rPr>
          <w:rFonts w:cs="Arial"/>
          <w:sz w:val="24"/>
          <w:szCs w:val="24"/>
        </w:rPr>
      </w:pPr>
      <w:r w:rsidRPr="00056E6B">
        <w:rPr>
          <w:rFonts w:cs="Arial"/>
          <w:bCs/>
          <w:sz w:val="24"/>
          <w:szCs w:val="24"/>
        </w:rPr>
        <w:lastRenderedPageBreak/>
        <w:t>Potenciál ostatných úsporných opatrení je 119 mil. eur. (</w:t>
      </w:r>
      <w:r w:rsidR="00E33013" w:rsidRPr="00056E6B">
        <w:rPr>
          <w:rFonts w:cs="Arial"/>
          <w:bCs/>
          <w:sz w:val="24"/>
          <w:szCs w:val="24"/>
        </w:rPr>
        <w:t xml:space="preserve">o.i. </w:t>
      </w:r>
      <w:r w:rsidRPr="00056E6B">
        <w:rPr>
          <w:rFonts w:cs="Arial"/>
          <w:sz w:val="24"/>
          <w:szCs w:val="24"/>
        </w:rPr>
        <w:t>znižovanie nadmerného využívania a jednotkových cien laboratórnej a zobrazovacej diagnostiky)</w:t>
      </w:r>
    </w:p>
    <w:p w:rsidR="00B05DD0" w:rsidRDefault="003D7208" w:rsidP="00B05DD0">
      <w:pPr>
        <w:ind w:left="-426"/>
        <w:rPr>
          <w:b/>
          <w:color w:val="FF0000"/>
        </w:rPr>
      </w:pPr>
      <w:r>
        <w:rPr>
          <w:b/>
          <w:noProof/>
          <w:color w:val="FF0000"/>
          <w:lang w:eastAsia="sk-SK"/>
        </w:rPr>
        <w:pict>
          <v:rect id="_x0000_s1027" style="position:absolute;left:0;text-align:left;margin-left:12.9pt;margin-top:150.7pt;width:424.4pt;height:32.9pt;z-index:251659264" filled="f" strokecolor="#c00000" strokeweight="1.5pt"/>
        </w:pict>
      </w:r>
      <w:r>
        <w:rPr>
          <w:b/>
          <w:noProof/>
          <w:color w:val="FF0000"/>
          <w:lang w:eastAsia="sk-SK"/>
        </w:rPr>
        <w:pict>
          <v:rect id="_x0000_s1026" style="position:absolute;left:0;text-align:left;margin-left:-5.8pt;margin-top:156.25pt;width:464.55pt;height:15.25pt;z-index:-251658240" strokecolor="#4f81bd [3204]" strokeweight="2.25pt"/>
        </w:pict>
      </w:r>
      <w:r w:rsidR="00B05DD0">
        <w:rPr>
          <w:b/>
          <w:noProof/>
          <w:color w:val="FF0000"/>
          <w:lang w:eastAsia="sk-SK"/>
        </w:rPr>
        <w:drawing>
          <wp:inline distT="0" distB="0" distL="0" distR="0">
            <wp:extent cx="6205904" cy="3876404"/>
            <wp:effectExtent l="19050" t="0" r="4396" b="0"/>
            <wp:docPr id="1" name="Obrázok 0" descr="výdavky VLD-ŠAS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davky VLD-ŠAS_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4403" cy="388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FB" w:rsidRPr="00056E6B" w:rsidRDefault="00C12958" w:rsidP="00784F93">
      <w:pPr>
        <w:ind w:left="0" w:right="0"/>
        <w:jc w:val="both"/>
        <w:rPr>
          <w:rFonts w:cs="Arial"/>
          <w:sz w:val="24"/>
          <w:szCs w:val="24"/>
        </w:rPr>
      </w:pPr>
      <w:r w:rsidRPr="00056E6B">
        <w:rPr>
          <w:rFonts w:cs="Arial"/>
          <w:b/>
          <w:bCs/>
          <w:sz w:val="24"/>
          <w:szCs w:val="24"/>
        </w:rPr>
        <w:t>R</w:t>
      </w:r>
      <w:r w:rsidR="00E435FB" w:rsidRPr="00056E6B">
        <w:rPr>
          <w:rFonts w:cs="Arial"/>
          <w:b/>
          <w:bCs/>
          <w:sz w:val="24"/>
          <w:szCs w:val="24"/>
        </w:rPr>
        <w:t xml:space="preserve">ozpočet pre rok 2020 prináša zdravotníctvu 5,6 mld. eur, </w:t>
      </w:r>
      <w:r w:rsidR="00E435FB" w:rsidRPr="00056E6B">
        <w:rPr>
          <w:rFonts w:cs="Arial"/>
          <w:sz w:val="24"/>
          <w:szCs w:val="24"/>
        </w:rPr>
        <w:t>z toho verejné zdravotné poistenie predstavuje 5 418 mil. eur. Do nemocníc bude nad rámec zdrojov z verejného zdravotného poistenia investovaných 69 mil. eur na kapitálové výdavky</w:t>
      </w:r>
      <w:r w:rsidRPr="00056E6B">
        <w:rPr>
          <w:rFonts w:cs="Arial"/>
          <w:sz w:val="24"/>
          <w:szCs w:val="24"/>
        </w:rPr>
        <w:t xml:space="preserve"> (najmä na obnovu budov a prístrojového vybavenia)</w:t>
      </w:r>
      <w:r w:rsidR="00784F93" w:rsidRPr="00056E6B">
        <w:rPr>
          <w:rFonts w:cs="Arial"/>
          <w:sz w:val="24"/>
          <w:szCs w:val="24"/>
        </w:rPr>
        <w:t>. Z</w:t>
      </w:r>
      <w:r w:rsidR="00E435FB" w:rsidRPr="00056E6B">
        <w:rPr>
          <w:rFonts w:cs="Arial"/>
          <w:sz w:val="24"/>
          <w:szCs w:val="24"/>
        </w:rPr>
        <w:t>vyšok predstavujú bežné výdavky kapitoly MZ. Výdavky verejného zdravotného poistenia tak oproti rozpočtu 2019 narastú o 487 mil. eur.</w:t>
      </w:r>
    </w:p>
    <w:p w:rsidR="003D7844" w:rsidRDefault="003D7208" w:rsidP="00C12958">
      <w:pPr>
        <w:pBdr>
          <w:bottom w:val="single" w:sz="6" w:space="1" w:color="auto"/>
        </w:pBdr>
        <w:ind w:left="0" w:right="0"/>
        <w:rPr>
          <w:rFonts w:ascii="Arial" w:hAnsi="Arial" w:cs="Arial"/>
          <w:sz w:val="24"/>
          <w:szCs w:val="24"/>
        </w:rPr>
      </w:pPr>
      <w:r w:rsidRPr="003D7208">
        <w:rPr>
          <w:rFonts w:ascii="Arial" w:hAnsi="Arial" w:cs="Arial"/>
          <w:b/>
          <w:noProof/>
          <w:color w:val="FF0000"/>
          <w:sz w:val="24"/>
          <w:szCs w:val="24"/>
          <w:lang w:eastAsia="sk-SK"/>
        </w:rPr>
        <w:pict>
          <v:rect id="_x0000_s1028" style="position:absolute;margin-left:27.4pt;margin-top:94pt;width:409.9pt;height:33.25pt;z-index:251660288" filled="f" strokecolor="#c00000" strokeweight="1.5pt"/>
        </w:pict>
      </w:r>
      <w:r w:rsidR="00781ED4">
        <w:rPr>
          <w:rFonts w:ascii="Arial" w:hAnsi="Arial" w:cs="Arial"/>
          <w:b/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5634404" cy="3019673"/>
            <wp:effectExtent l="19050" t="0" r="4396" b="0"/>
            <wp:docPr id="4" name="Obrázok 3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7558" cy="302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6B" w:rsidRDefault="00056E6B" w:rsidP="00C12958">
      <w:pPr>
        <w:pBdr>
          <w:bottom w:val="single" w:sz="6" w:space="1" w:color="auto"/>
        </w:pBdr>
        <w:ind w:left="0" w:right="0"/>
        <w:rPr>
          <w:rFonts w:ascii="Arial" w:hAnsi="Arial" w:cs="Arial"/>
          <w:sz w:val="24"/>
          <w:szCs w:val="24"/>
        </w:rPr>
      </w:pPr>
    </w:p>
    <w:p w:rsidR="004940CE" w:rsidRPr="00147ABC" w:rsidRDefault="00AE2A40" w:rsidP="00C12958">
      <w:pPr>
        <w:pBdr>
          <w:bottom w:val="single" w:sz="6" w:space="1" w:color="auto"/>
        </w:pBdr>
        <w:ind w:left="0" w:right="0"/>
        <w:rPr>
          <w:rFonts w:cs="Arial"/>
          <w:sz w:val="24"/>
          <w:szCs w:val="24"/>
        </w:rPr>
      </w:pPr>
      <w:r w:rsidRPr="00147ABC">
        <w:rPr>
          <w:rFonts w:cs="Arial"/>
          <w:sz w:val="24"/>
          <w:szCs w:val="24"/>
        </w:rPr>
        <w:t>Poznámky</w:t>
      </w:r>
      <w:r w:rsidR="00147ABC" w:rsidRPr="00147ABC">
        <w:rPr>
          <w:rFonts w:cs="Arial"/>
          <w:sz w:val="24"/>
          <w:szCs w:val="24"/>
        </w:rPr>
        <w:t xml:space="preserve"> k popisu východiskového stavu </w:t>
      </w:r>
      <w:r w:rsidR="004940CE" w:rsidRPr="00147ABC">
        <w:rPr>
          <w:rFonts w:cs="Arial"/>
          <w:sz w:val="24"/>
          <w:szCs w:val="24"/>
        </w:rPr>
        <w:t xml:space="preserve">: </w:t>
      </w:r>
    </w:p>
    <w:p w:rsidR="008E3E06" w:rsidRPr="00550577" w:rsidRDefault="008E3E06" w:rsidP="008E3E06">
      <w:pPr>
        <w:pBdr>
          <w:bottom w:val="single" w:sz="6" w:space="1" w:color="auto"/>
        </w:pBdr>
        <w:ind w:left="0" w:right="0"/>
        <w:jc w:val="both"/>
        <w:rPr>
          <w:rFonts w:cs="Arial"/>
        </w:rPr>
      </w:pPr>
      <w:r w:rsidRPr="00550577">
        <w:rPr>
          <w:rFonts w:cs="Arial"/>
          <w:b/>
        </w:rPr>
        <w:t xml:space="preserve">- </w:t>
      </w:r>
      <w:r w:rsidR="00550577" w:rsidRPr="00550577">
        <w:rPr>
          <w:rFonts w:cs="Arial"/>
          <w:b/>
        </w:rPr>
        <w:t>p</w:t>
      </w:r>
      <w:r w:rsidRPr="00550577">
        <w:rPr>
          <w:rFonts w:cs="Arial"/>
          <w:b/>
        </w:rPr>
        <w:t>acienti na Slovensku navštevujú lekárov v ambulanciách príliš často, najčastejšie z celej EÚ</w:t>
      </w:r>
      <w:r w:rsidRPr="00550577">
        <w:rPr>
          <w:rFonts w:cs="Arial"/>
        </w:rPr>
        <w:t>, napriek tomu sú výsledky v ich liečbe horšie. Slováci nadmerne navštevujú špecialistov, všeobecných lekárov naopak menej. Dôvodom je, že časť zdravotnej starostlivosti, ktorú na Slovensku poskytujú špecialisti, v zahraničí vykonávajú všeobecní lekári so širšími kompetenciami.</w:t>
      </w:r>
    </w:p>
    <w:p w:rsidR="00311130" w:rsidRDefault="00311130" w:rsidP="00311130">
      <w:pPr>
        <w:pBdr>
          <w:bottom w:val="single" w:sz="6" w:space="1" w:color="auto"/>
        </w:pBdr>
        <w:ind w:left="0" w:right="0"/>
        <w:jc w:val="both"/>
        <w:rPr>
          <w:rFonts w:cs="Arial"/>
        </w:rPr>
      </w:pPr>
      <w:r w:rsidRPr="00550577">
        <w:rPr>
          <w:rFonts w:cs="Arial"/>
          <w:b/>
        </w:rPr>
        <w:t>- pred rozšírením kompetencií všeobecných lekárov je potrebné investovať do navýšenia počtu</w:t>
      </w:r>
      <w:r>
        <w:rPr>
          <w:rFonts w:cs="Arial"/>
          <w:b/>
        </w:rPr>
        <w:t xml:space="preserve"> </w:t>
      </w:r>
      <w:r w:rsidRPr="00550577">
        <w:rPr>
          <w:rFonts w:cs="Arial"/>
          <w:b/>
        </w:rPr>
        <w:t>všeobecných lekárov a zdrojov pre všeobecných lekárov,</w:t>
      </w:r>
      <w:r w:rsidRPr="00550577">
        <w:rPr>
          <w:rFonts w:cs="Arial"/>
        </w:rPr>
        <w:t xml:space="preserve"> ich vzdelania v nových kompetenciách a do príslušného technicko-materiálneho vybavenia. </w:t>
      </w:r>
      <w:r>
        <w:rPr>
          <w:rFonts w:cs="Arial"/>
        </w:rPr>
        <w:t>Cieľovo budú výdavky na VAS</w:t>
      </w:r>
      <w:r w:rsidRPr="00550577">
        <w:rPr>
          <w:rFonts w:cs="Arial"/>
        </w:rPr>
        <w:t xml:space="preserve"> ako % HDP dorovnané na úroveň krajín V3 v horizonte 10 rokov na 113 mil. eur, z toho 11,3 mil. eur v roku 2021.</w:t>
      </w:r>
    </w:p>
    <w:p w:rsidR="003E35B1" w:rsidRPr="00256F39" w:rsidRDefault="003E35B1" w:rsidP="003E35B1">
      <w:pPr>
        <w:pBdr>
          <w:bottom w:val="single" w:sz="6" w:space="1" w:color="auto"/>
        </w:pBdr>
        <w:ind w:left="0" w:right="0"/>
        <w:jc w:val="both"/>
        <w:rPr>
          <w:rFonts w:cs="Arial"/>
        </w:rPr>
      </w:pPr>
      <w:r>
        <w:rPr>
          <w:b/>
          <w:bCs/>
        </w:rPr>
        <w:t xml:space="preserve">- neefektívnosť v ambulantnej starostlivosti vyplýva z nedostatkov nastavenia primárnej starostlivosti na Slovensku. </w:t>
      </w:r>
      <w:r>
        <w:t>Podľa Svetovej banky zaostáva primárna starostlivosť najmä v rozsahu zdravotnej starostlivosti, ktorú dokáže pokryť, a kompetenciách zdravotníckeho personálu, čo je prepojené na nedostatočné kapacity a štruktúru personálu a slabú koordináciu naprieč špecializáciami.</w:t>
      </w:r>
      <w:r w:rsidR="00256F39">
        <w:t xml:space="preserve"> </w:t>
      </w:r>
      <w:r w:rsidR="00256F39" w:rsidRPr="00256F39">
        <w:rPr>
          <w:bCs/>
        </w:rPr>
        <w:t>Slovenskí všeobecní lekári využívajú len 70 % z kompetencií priemerného všeobecného lekára v EU, a dokonca len 48 % kompetencií kolegov v krajinách s najlepšou primárnou starostlivosťou</w:t>
      </w:r>
    </w:p>
    <w:p w:rsidR="00550577" w:rsidRPr="00550577" w:rsidRDefault="003D7844" w:rsidP="003D7844">
      <w:pPr>
        <w:pBdr>
          <w:bottom w:val="single" w:sz="6" w:space="1" w:color="auto"/>
        </w:pBdr>
        <w:ind w:left="0" w:right="0"/>
        <w:jc w:val="both"/>
        <w:rPr>
          <w:rFonts w:cs="Arial"/>
        </w:rPr>
      </w:pPr>
      <w:r w:rsidRPr="00550577">
        <w:rPr>
          <w:rFonts w:cs="Arial"/>
          <w:b/>
        </w:rPr>
        <w:t xml:space="preserve">- významný potenciál na zvyšovanie efektivity v ambulantnej starostlivosti </w:t>
      </w:r>
      <w:r w:rsidR="000831A3" w:rsidRPr="00550577">
        <w:rPr>
          <w:rFonts w:cs="Arial"/>
          <w:b/>
        </w:rPr>
        <w:t xml:space="preserve">predstavujú </w:t>
      </w:r>
      <w:r w:rsidRPr="00550577">
        <w:rPr>
          <w:rFonts w:cs="Arial"/>
          <w:b/>
        </w:rPr>
        <w:t>opatrenia bez priameho finančného dopadu</w:t>
      </w:r>
      <w:r w:rsidR="000831A3" w:rsidRPr="00550577">
        <w:rPr>
          <w:rFonts w:cs="Arial"/>
          <w:b/>
        </w:rPr>
        <w:t>:</w:t>
      </w:r>
      <w:r w:rsidRPr="00550577">
        <w:rPr>
          <w:rFonts w:cs="Arial"/>
        </w:rPr>
        <w:t xml:space="preserve"> </w:t>
      </w:r>
      <w:r w:rsidR="00550577" w:rsidRPr="00550577">
        <w:rPr>
          <w:rFonts w:cs="Arial"/>
        </w:rPr>
        <w:t xml:space="preserve">1/ </w:t>
      </w:r>
      <w:r w:rsidRPr="00550577">
        <w:rPr>
          <w:rFonts w:cs="Arial"/>
        </w:rPr>
        <w:t xml:space="preserve">podpora gatekeepingu pred príchodom k všeobecnému lekárovi (redukcia „administratívnych“ návštev, telefonická konzultácia namiesto návštevy, domáca liečba v prípade virózy), </w:t>
      </w:r>
      <w:r w:rsidR="00550577" w:rsidRPr="00550577">
        <w:rPr>
          <w:rFonts w:cs="Arial"/>
        </w:rPr>
        <w:t xml:space="preserve">2/ </w:t>
      </w:r>
      <w:r w:rsidRPr="00550577">
        <w:rPr>
          <w:rFonts w:cs="Arial"/>
        </w:rPr>
        <w:t xml:space="preserve">prehodnotenie mechanizmu financovania ambulancií (kapitácia a platba za výkon), </w:t>
      </w:r>
      <w:r w:rsidR="00550577" w:rsidRPr="00550577">
        <w:rPr>
          <w:rFonts w:cs="Arial"/>
        </w:rPr>
        <w:t xml:space="preserve">3/ </w:t>
      </w:r>
      <w:r w:rsidRPr="00550577">
        <w:rPr>
          <w:rFonts w:cs="Arial"/>
        </w:rPr>
        <w:t>jednoduchší vstup všeobecných lekárov na trh a</w:t>
      </w:r>
      <w:r w:rsidR="00550577" w:rsidRPr="00550577">
        <w:rPr>
          <w:rFonts w:cs="Arial"/>
        </w:rPr>
        <w:t xml:space="preserve"> 4/ </w:t>
      </w:r>
      <w:r w:rsidRPr="00550577">
        <w:rPr>
          <w:rFonts w:cs="Arial"/>
        </w:rPr>
        <w:t xml:space="preserve">podpora vzniku integrovaných kliník všeobecnej ambulantnej starostlivosti </w:t>
      </w:r>
    </w:p>
    <w:p w:rsidR="00550577" w:rsidRPr="00550577" w:rsidRDefault="00550577" w:rsidP="003D7844">
      <w:pPr>
        <w:pBdr>
          <w:bottom w:val="single" w:sz="6" w:space="1" w:color="auto"/>
        </w:pBdr>
        <w:ind w:left="0" w:right="0"/>
        <w:jc w:val="both"/>
        <w:rPr>
          <w:rFonts w:cs="Arial"/>
        </w:rPr>
      </w:pPr>
      <w:r w:rsidRPr="00550577">
        <w:rPr>
          <w:rFonts w:cs="Arial"/>
        </w:rPr>
        <w:t xml:space="preserve">- </w:t>
      </w:r>
      <w:r w:rsidRPr="00550577">
        <w:rPr>
          <w:b/>
          <w:bCs/>
        </w:rPr>
        <w:t xml:space="preserve">špecialisti a všeobecní lekári sa líšia v mechanizmoch úhrad od zdravotných poisťovní, ktoré majú odlišný vplyv na motiváciu poskytovať zdravotnú starostlivosť. </w:t>
      </w:r>
      <w:r w:rsidRPr="00550577">
        <w:t>Špecialisti sú platení najmä za výkon (fee-for-service), čo môže motivovať k nadmernému počtu výkonov. Všeobecní lekári dostávajú mesačne kapitáciu (platbu za pacienta v kapitačnom kmeni ordinácie). Úhrada za výkon tvorí len malú časť financovania, lekár tak môže mať motiváciu liečiť len ľahšie prípady. Oba typy mechanizmov sú bežné aj v zahraničí, kde ich nedostatky kompenzujú inovatívne platobné mechanizmy (OECD, 2015).</w:t>
      </w:r>
    </w:p>
    <w:p w:rsidR="000B6BC8" w:rsidRDefault="000B6BC8" w:rsidP="004940CE">
      <w:pPr>
        <w:pBdr>
          <w:bottom w:val="single" w:sz="6" w:space="1" w:color="auto"/>
        </w:pBdr>
        <w:ind w:left="0" w:right="0"/>
        <w:jc w:val="both"/>
      </w:pPr>
      <w:r>
        <w:rPr>
          <w:b/>
          <w:bCs/>
        </w:rPr>
        <w:t>- súčasné nastavenie hlavnej časti platobných mechanizmov všeobecných lekárov nemotivuje k uplatňovaniu nových kompetencií</w:t>
      </w:r>
      <w:r>
        <w:t>. Všeobecní lekári sú platení z kapitácie, ktorá nemotivuje poskytovanie starostlivosti náročnejším pacientom</w:t>
      </w:r>
    </w:p>
    <w:p w:rsidR="000B6BC8" w:rsidRDefault="000B6BC8" w:rsidP="004940CE">
      <w:pPr>
        <w:pBdr>
          <w:bottom w:val="single" w:sz="6" w:space="1" w:color="auto"/>
        </w:pBdr>
        <w:ind w:left="0" w:right="0"/>
        <w:jc w:val="both"/>
      </w:pPr>
      <w:r>
        <w:t xml:space="preserve">- </w:t>
      </w:r>
      <w:r w:rsidRPr="000B6BC8">
        <w:rPr>
          <w:b/>
        </w:rPr>
        <w:t>špecialisti platení za výkon sú naopak motivovaní k poskytovaniu nadmerného počtu výkonov</w:t>
      </w:r>
    </w:p>
    <w:p w:rsidR="00056F3C" w:rsidRDefault="00056F3C" w:rsidP="004940CE">
      <w:pPr>
        <w:pBdr>
          <w:bottom w:val="single" w:sz="6" w:space="1" w:color="auto"/>
        </w:pBdr>
        <w:ind w:left="0" w:right="0"/>
        <w:jc w:val="both"/>
        <w:rPr>
          <w:rFonts w:cs="Arial"/>
        </w:rPr>
      </w:pPr>
      <w:r>
        <w:rPr>
          <w:b/>
          <w:bCs/>
        </w:rPr>
        <w:t xml:space="preserve">- pre efektívnu starostlivosť o pacientov s chronickými ochoreniami je potrebná koordinácia všeobecných lekárov a špecialistov. </w:t>
      </w:r>
      <w:r>
        <w:t>Koordináciu možno motivovať správne nastavenými mechanizmami platieb, napr. platbou za výkonnosť (pay-for-performance), ktorá reflektuje starostlivosť o chronicky chorých pacientov.</w:t>
      </w:r>
    </w:p>
    <w:p w:rsidR="003D7844" w:rsidRDefault="003D7844" w:rsidP="004940CE">
      <w:pPr>
        <w:pBdr>
          <w:bottom w:val="single" w:sz="6" w:space="1" w:color="auto"/>
        </w:pBdr>
        <w:ind w:left="0" w:right="0"/>
        <w:jc w:val="both"/>
        <w:rPr>
          <w:rFonts w:ascii="Arial" w:hAnsi="Arial" w:cs="Arial"/>
          <w:sz w:val="24"/>
          <w:szCs w:val="24"/>
        </w:rPr>
      </w:pPr>
    </w:p>
    <w:p w:rsidR="00C12958" w:rsidRDefault="003D7844" w:rsidP="00C12958">
      <w:pPr>
        <w:ind w:left="0" w:right="0"/>
        <w:jc w:val="both"/>
      </w:pPr>
      <w:r>
        <w:rPr>
          <w:b/>
          <w:i/>
          <w:iCs/>
        </w:rPr>
        <w:t>R</w:t>
      </w:r>
      <w:r w:rsidR="00C12958" w:rsidRPr="008A6B83">
        <w:rPr>
          <w:b/>
          <w:i/>
          <w:iCs/>
        </w:rPr>
        <w:t xml:space="preserve">evízia výdavkov na zdravotníctvo II – október </w:t>
      </w:r>
      <w:r w:rsidR="00C12958" w:rsidRPr="006B6226">
        <w:rPr>
          <w:b/>
          <w:i/>
          <w:iCs/>
        </w:rPr>
        <w:t>2019 je súčasťou vládneho projektu „Hodnota za peniaze“</w:t>
      </w:r>
      <w:r w:rsidR="00C12958">
        <w:rPr>
          <w:i/>
          <w:iCs/>
        </w:rPr>
        <w:t>, ktorý má reformovať pravidlá rozhodovania v štátnej správe s cieľom dobrých rozhodnutí vo verejnom záujme - vo vyspelých krajinách je revízia výdavkov štandardný nástroj, ktorý vládam pomáha hľadať priestor vo verejných politikách pre efektívnejšie využívanie verejných prostriedkov a fiškálne úspory, resp. plnenie národných aj európskych fiškálnych záväzkov</w:t>
      </w:r>
    </w:p>
    <w:p w:rsidR="00E435FB" w:rsidRDefault="00E435FB" w:rsidP="00E435FB">
      <w:pPr>
        <w:ind w:left="0"/>
        <w:rPr>
          <w:b/>
          <w:color w:val="FF0000"/>
        </w:rPr>
      </w:pPr>
    </w:p>
    <w:p w:rsidR="00147ABC" w:rsidRDefault="00BB417D" w:rsidP="006B050D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NAVRHOVANÉ  RIEŠENIE  ÚHM  ŠAS:</w:t>
      </w:r>
    </w:p>
    <w:p w:rsidR="00ED6060" w:rsidRPr="00BB417D" w:rsidRDefault="00ED6060" w:rsidP="00BB417D">
      <w:pPr>
        <w:numPr>
          <w:ilvl w:val="0"/>
          <w:numId w:val="2"/>
        </w:numPr>
        <w:rPr>
          <w:color w:val="7030A0"/>
          <w:sz w:val="24"/>
          <w:szCs w:val="24"/>
        </w:rPr>
      </w:pPr>
      <w:r w:rsidRPr="00BB417D">
        <w:rPr>
          <w:b/>
          <w:bCs/>
          <w:color w:val="7030A0"/>
          <w:sz w:val="24"/>
          <w:szCs w:val="24"/>
        </w:rPr>
        <w:t>Arbitrárne prerozdelenie celkových zdrojov ŠAS medzi jednotlivé medicínske odbory (JMO ŠAS)</w:t>
      </w:r>
      <w:r w:rsidR="00BB417D">
        <w:rPr>
          <w:b/>
          <w:bCs/>
          <w:color w:val="7030A0"/>
          <w:sz w:val="24"/>
          <w:szCs w:val="24"/>
        </w:rPr>
        <w:t xml:space="preserve"> </w:t>
      </w:r>
      <w:r w:rsidR="00BB417D" w:rsidRPr="00BB417D">
        <w:rPr>
          <w:bCs/>
          <w:color w:val="7030A0"/>
          <w:sz w:val="24"/>
          <w:szCs w:val="24"/>
        </w:rPr>
        <w:t xml:space="preserve">– mediácia dohody medzi jednotlivými ŠAS (ZAP?, ASLSR?, SLK?, politické rozhodnutie?) </w:t>
      </w:r>
    </w:p>
    <w:p w:rsidR="00ED6060" w:rsidRPr="00BB417D" w:rsidRDefault="00ED6060" w:rsidP="00BB417D">
      <w:pPr>
        <w:numPr>
          <w:ilvl w:val="0"/>
          <w:numId w:val="2"/>
        </w:numPr>
        <w:rPr>
          <w:sz w:val="24"/>
          <w:szCs w:val="24"/>
        </w:rPr>
      </w:pPr>
      <w:r w:rsidRPr="00D84C06">
        <w:rPr>
          <w:b/>
          <w:color w:val="76923C" w:themeColor="accent3" w:themeShade="BF"/>
          <w:sz w:val="24"/>
          <w:szCs w:val="24"/>
        </w:rPr>
        <w:t>Stanovenie</w:t>
      </w:r>
      <w:r w:rsidRPr="00BB417D">
        <w:rPr>
          <w:sz w:val="24"/>
          <w:szCs w:val="24"/>
        </w:rPr>
        <w:t xml:space="preserve"> rozpočtovaného </w:t>
      </w:r>
      <w:r w:rsidRPr="00D84C06">
        <w:rPr>
          <w:b/>
          <w:color w:val="76923C" w:themeColor="accent3" w:themeShade="BF"/>
          <w:sz w:val="24"/>
          <w:szCs w:val="24"/>
        </w:rPr>
        <w:t>počtu vyšetrení JMO ŠAS</w:t>
      </w:r>
      <w:r w:rsidRPr="00BB417D">
        <w:rPr>
          <w:sz w:val="24"/>
          <w:szCs w:val="24"/>
        </w:rPr>
        <w:t xml:space="preserve"> v zúčtovacom období (mesiac / rok)</w:t>
      </w:r>
      <w:r w:rsidR="00BB417D">
        <w:rPr>
          <w:sz w:val="24"/>
          <w:szCs w:val="24"/>
        </w:rPr>
        <w:t xml:space="preserve"> – viz.</w:t>
      </w:r>
      <w:r w:rsidR="00D84C06">
        <w:rPr>
          <w:sz w:val="24"/>
          <w:szCs w:val="24"/>
        </w:rPr>
        <w:t xml:space="preserve"> </w:t>
      </w:r>
      <w:r w:rsidR="00BB417D">
        <w:rPr>
          <w:sz w:val="24"/>
          <w:szCs w:val="24"/>
        </w:rPr>
        <w:t xml:space="preserve">tabuľka </w:t>
      </w:r>
      <w:r w:rsidR="00D26A51">
        <w:rPr>
          <w:sz w:val="24"/>
          <w:szCs w:val="24"/>
        </w:rPr>
        <w:t xml:space="preserve">„Náklady a počet návštev vybraných ŠAS“ </w:t>
      </w:r>
      <w:r w:rsidR="00BB417D">
        <w:rPr>
          <w:sz w:val="24"/>
          <w:szCs w:val="24"/>
        </w:rPr>
        <w:t>ako príklad</w:t>
      </w:r>
    </w:p>
    <w:p w:rsidR="00ED6060" w:rsidRPr="00D84C06" w:rsidRDefault="00ED6060" w:rsidP="00BB417D">
      <w:pPr>
        <w:numPr>
          <w:ilvl w:val="0"/>
          <w:numId w:val="2"/>
        </w:numPr>
        <w:rPr>
          <w:sz w:val="24"/>
          <w:szCs w:val="24"/>
          <w:u w:val="single"/>
        </w:rPr>
      </w:pPr>
      <w:r w:rsidRPr="00D84C06">
        <w:rPr>
          <w:b/>
          <w:bCs/>
          <w:color w:val="76923C" w:themeColor="accent3" w:themeShade="BF"/>
          <w:sz w:val="24"/>
          <w:szCs w:val="24"/>
        </w:rPr>
        <w:t xml:space="preserve">Stanovenie jednotkovej ceny </w:t>
      </w:r>
      <w:r w:rsidR="003611A9">
        <w:rPr>
          <w:b/>
          <w:bCs/>
          <w:color w:val="76923C" w:themeColor="accent3" w:themeShade="BF"/>
          <w:sz w:val="24"/>
          <w:szCs w:val="24"/>
        </w:rPr>
        <w:t>(JC</w:t>
      </w:r>
      <w:r w:rsidR="00B04000">
        <w:rPr>
          <w:b/>
          <w:bCs/>
          <w:color w:val="76923C" w:themeColor="accent3" w:themeShade="BF"/>
          <w:sz w:val="24"/>
          <w:szCs w:val="24"/>
        </w:rPr>
        <w:t>V</w:t>
      </w:r>
      <w:r w:rsidR="003611A9">
        <w:rPr>
          <w:b/>
          <w:bCs/>
          <w:color w:val="76923C" w:themeColor="accent3" w:themeShade="BF"/>
          <w:sz w:val="24"/>
          <w:szCs w:val="24"/>
        </w:rPr>
        <w:t xml:space="preserve">) </w:t>
      </w:r>
      <w:r w:rsidRPr="00D84C06">
        <w:rPr>
          <w:b/>
          <w:bCs/>
          <w:color w:val="76923C" w:themeColor="accent3" w:themeShade="BF"/>
          <w:sz w:val="24"/>
          <w:szCs w:val="24"/>
        </w:rPr>
        <w:t>vyšetrenia JMO ŠAS</w:t>
      </w:r>
      <w:r w:rsidRPr="00BB417D">
        <w:rPr>
          <w:b/>
          <w:bCs/>
          <w:sz w:val="24"/>
          <w:szCs w:val="24"/>
        </w:rPr>
        <w:t xml:space="preserve"> </w:t>
      </w:r>
      <w:r w:rsidRPr="00BB417D">
        <w:rPr>
          <w:sz w:val="24"/>
          <w:szCs w:val="24"/>
        </w:rPr>
        <w:t xml:space="preserve">ako </w:t>
      </w:r>
      <w:r w:rsidR="00113D36" w:rsidRPr="00113D36">
        <w:rPr>
          <w:sz w:val="24"/>
          <w:szCs w:val="24"/>
          <w:u w:val="single"/>
        </w:rPr>
        <w:t xml:space="preserve">podiel </w:t>
      </w:r>
      <w:r w:rsidR="00113D36">
        <w:rPr>
          <w:sz w:val="24"/>
          <w:szCs w:val="24"/>
          <w:u w:val="single"/>
        </w:rPr>
        <w:t>75</w:t>
      </w:r>
      <w:r w:rsidRPr="00D84C06">
        <w:rPr>
          <w:sz w:val="24"/>
          <w:szCs w:val="24"/>
          <w:u w:val="single"/>
        </w:rPr>
        <w:t>% z celkových zdrojov JMO ŠAS</w:t>
      </w:r>
      <w:r w:rsidR="00113D36">
        <w:rPr>
          <w:sz w:val="24"/>
          <w:szCs w:val="24"/>
          <w:u w:val="single"/>
        </w:rPr>
        <w:t xml:space="preserve"> a celkového počtu vyšetrení (75</w:t>
      </w:r>
      <w:r w:rsidRPr="00D84C06">
        <w:rPr>
          <w:sz w:val="24"/>
          <w:szCs w:val="24"/>
          <w:u w:val="single"/>
        </w:rPr>
        <w:t>% celkových zdrojov)</w:t>
      </w:r>
    </w:p>
    <w:p w:rsidR="00ED6060" w:rsidRPr="00D84C06" w:rsidRDefault="00ED6060" w:rsidP="00BB417D">
      <w:pPr>
        <w:numPr>
          <w:ilvl w:val="0"/>
          <w:numId w:val="2"/>
        </w:numPr>
        <w:rPr>
          <w:sz w:val="24"/>
          <w:szCs w:val="24"/>
          <w:u w:val="single"/>
        </w:rPr>
      </w:pPr>
      <w:r w:rsidRPr="00D84C06">
        <w:rPr>
          <w:b/>
          <w:color w:val="76923C" w:themeColor="accent3" w:themeShade="BF"/>
          <w:sz w:val="24"/>
          <w:szCs w:val="24"/>
        </w:rPr>
        <w:t>Stanovenie</w:t>
      </w:r>
      <w:r w:rsidRPr="00D84C06">
        <w:rPr>
          <w:color w:val="76923C" w:themeColor="accent3" w:themeShade="BF"/>
          <w:sz w:val="24"/>
          <w:szCs w:val="24"/>
        </w:rPr>
        <w:t xml:space="preserve"> </w:t>
      </w:r>
      <w:r w:rsidRPr="00D84C06">
        <w:rPr>
          <w:b/>
          <w:bCs/>
          <w:color w:val="76923C" w:themeColor="accent3" w:themeShade="BF"/>
          <w:sz w:val="24"/>
          <w:szCs w:val="24"/>
        </w:rPr>
        <w:t>paušálnej úhrady</w:t>
      </w:r>
      <w:r w:rsidR="004B74A5">
        <w:rPr>
          <w:b/>
          <w:bCs/>
          <w:color w:val="76923C" w:themeColor="accent3" w:themeShade="BF"/>
          <w:sz w:val="24"/>
          <w:szCs w:val="24"/>
        </w:rPr>
        <w:t xml:space="preserve"> (PU)</w:t>
      </w:r>
      <w:r w:rsidRPr="00BB417D">
        <w:rPr>
          <w:b/>
          <w:bCs/>
          <w:sz w:val="24"/>
          <w:szCs w:val="24"/>
        </w:rPr>
        <w:t xml:space="preserve"> </w:t>
      </w:r>
      <w:r w:rsidRPr="00BB417D">
        <w:rPr>
          <w:sz w:val="24"/>
          <w:szCs w:val="24"/>
        </w:rPr>
        <w:t xml:space="preserve">pre jednotlivého PZS /1LM  JMO ŠAS ako </w:t>
      </w:r>
      <w:r w:rsidRPr="00D84C06">
        <w:rPr>
          <w:sz w:val="24"/>
          <w:szCs w:val="24"/>
          <w:u w:val="single"/>
        </w:rPr>
        <w:t xml:space="preserve">podiel </w:t>
      </w:r>
      <w:r w:rsidR="00113D36">
        <w:rPr>
          <w:bCs/>
          <w:sz w:val="24"/>
          <w:szCs w:val="24"/>
          <w:u w:val="single"/>
        </w:rPr>
        <w:t>25</w:t>
      </w:r>
      <w:r w:rsidRPr="00D84C06">
        <w:rPr>
          <w:bCs/>
          <w:sz w:val="24"/>
          <w:szCs w:val="24"/>
          <w:u w:val="single"/>
        </w:rPr>
        <w:t>% celkových zdrojov</w:t>
      </w:r>
      <w:r w:rsidRPr="00D84C06">
        <w:rPr>
          <w:b/>
          <w:bCs/>
          <w:sz w:val="24"/>
          <w:szCs w:val="24"/>
          <w:u w:val="single"/>
        </w:rPr>
        <w:t xml:space="preserve"> </w:t>
      </w:r>
      <w:r w:rsidRPr="00D84C06">
        <w:rPr>
          <w:sz w:val="24"/>
          <w:szCs w:val="24"/>
          <w:u w:val="single"/>
        </w:rPr>
        <w:t>a celkového počtu PZS/LM JMO ŠAS</w:t>
      </w:r>
    </w:p>
    <w:p w:rsidR="00ED6060" w:rsidRPr="00D84C06" w:rsidRDefault="00ED6060" w:rsidP="00BB417D">
      <w:pPr>
        <w:numPr>
          <w:ilvl w:val="0"/>
          <w:numId w:val="2"/>
        </w:numPr>
        <w:rPr>
          <w:color w:val="C00000"/>
          <w:sz w:val="24"/>
          <w:szCs w:val="24"/>
        </w:rPr>
      </w:pPr>
      <w:r w:rsidRPr="00D84C06">
        <w:rPr>
          <w:b/>
          <w:sz w:val="24"/>
          <w:szCs w:val="24"/>
        </w:rPr>
        <w:t>Úhrada ZP pre jednotlivého PZS JMO ŠAS bude</w:t>
      </w:r>
      <w:r w:rsidRPr="00BB417D">
        <w:rPr>
          <w:sz w:val="24"/>
          <w:szCs w:val="24"/>
        </w:rPr>
        <w:t xml:space="preserve"> </w:t>
      </w:r>
      <w:r w:rsidRPr="00D84C06">
        <w:rPr>
          <w:b/>
          <w:bCs/>
          <w:color w:val="C00000"/>
          <w:sz w:val="24"/>
          <w:szCs w:val="24"/>
        </w:rPr>
        <w:t>súčtom paušálnej úhrady</w:t>
      </w:r>
      <w:r w:rsidRPr="00D84C06">
        <w:rPr>
          <w:color w:val="C00000"/>
          <w:sz w:val="24"/>
          <w:szCs w:val="24"/>
        </w:rPr>
        <w:t xml:space="preserve"> príslušného JMO ŠAS </w:t>
      </w:r>
      <w:r w:rsidRPr="00D84C06">
        <w:rPr>
          <w:b/>
          <w:bCs/>
          <w:color w:val="C00000"/>
          <w:sz w:val="24"/>
          <w:szCs w:val="24"/>
        </w:rPr>
        <w:t xml:space="preserve">a násobku počtu vyšetrení a jednotkovej ceny za vyšetrenie </w:t>
      </w:r>
      <w:r w:rsidRPr="00D84C06">
        <w:rPr>
          <w:color w:val="C00000"/>
          <w:sz w:val="24"/>
          <w:szCs w:val="24"/>
        </w:rPr>
        <w:t xml:space="preserve">príslušného JMO ŠAS </w:t>
      </w:r>
    </w:p>
    <w:p w:rsidR="006B050D" w:rsidRDefault="007500CA" w:rsidP="006B050D">
      <w:pPr>
        <w:ind w:left="1134"/>
        <w:rPr>
          <w:sz w:val="24"/>
          <w:szCs w:val="24"/>
        </w:rPr>
      </w:pPr>
      <w:r w:rsidRPr="007500CA">
        <w:rPr>
          <w:sz w:val="24"/>
          <w:szCs w:val="24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pt;height:270.7pt" o:ole="">
            <v:imagedata r:id="rId9" o:title=""/>
          </v:shape>
          <o:OLEObject Type="Embed" ProgID="PowerPoint.Slide.12" ShapeID="_x0000_i1025" DrawAspect="Content" ObjectID="_1642054927" r:id="rId10"/>
        </w:object>
      </w:r>
    </w:p>
    <w:p w:rsidR="006B050D" w:rsidRDefault="006B050D" w:rsidP="00703413">
      <w:pPr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5760720" cy="2189480"/>
            <wp:effectExtent l="19050" t="0" r="0" b="0"/>
            <wp:docPr id="6" name="Obrázok 5" descr="Náklady a počet návštev Š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klady a počet návštev ŠA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742" w:rsidRDefault="001D7271" w:rsidP="00944D2F">
      <w:pPr>
        <w:ind w:left="1134"/>
        <w:rPr>
          <w:sz w:val="24"/>
          <w:szCs w:val="24"/>
        </w:rPr>
      </w:pPr>
      <w:r w:rsidRPr="001D7271">
        <w:rPr>
          <w:sz w:val="24"/>
          <w:szCs w:val="24"/>
        </w:rPr>
        <w:object w:dxaOrig="7216" w:dyaOrig="5407">
          <v:shape id="_x0000_i1028" type="#_x0000_t75" style="width:360.7pt;height:270.7pt" o:ole="">
            <v:imagedata r:id="rId12" o:title=""/>
          </v:shape>
          <o:OLEObject Type="Embed" ProgID="PowerPoint.Slide.12" ShapeID="_x0000_i1028" DrawAspect="Content" ObjectID="_1642054928" r:id="rId13"/>
        </w:object>
      </w:r>
    </w:p>
    <w:p w:rsidR="00021742" w:rsidRPr="00472F4C" w:rsidRDefault="00021742" w:rsidP="00C02598">
      <w:pPr>
        <w:spacing w:line="276" w:lineRule="auto"/>
        <w:ind w:left="0"/>
        <w:rPr>
          <w:b/>
          <w:sz w:val="24"/>
          <w:szCs w:val="24"/>
        </w:rPr>
      </w:pPr>
      <w:r w:rsidRPr="00472F4C">
        <w:rPr>
          <w:b/>
          <w:sz w:val="24"/>
          <w:szCs w:val="24"/>
        </w:rPr>
        <w:t>1/ Rozpočet</w:t>
      </w:r>
      <w:r w:rsidR="00944D2F">
        <w:rPr>
          <w:b/>
          <w:sz w:val="24"/>
          <w:szCs w:val="24"/>
        </w:rPr>
        <w:t xml:space="preserve"> = súčet</w:t>
      </w:r>
    </w:p>
    <w:p w:rsidR="00021742" w:rsidRDefault="00113D36" w:rsidP="00C02598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21742">
        <w:rPr>
          <w:sz w:val="24"/>
          <w:szCs w:val="24"/>
        </w:rPr>
        <w:t>Skutočných výdavkov za predošlý rok</w:t>
      </w:r>
    </w:p>
    <w:p w:rsidR="00021742" w:rsidRDefault="00113D36" w:rsidP="00C02598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21742">
        <w:rPr>
          <w:sz w:val="24"/>
          <w:szCs w:val="24"/>
        </w:rPr>
        <w:t>Zmeny výdavkov (trendy) v aktuálnom roku</w:t>
      </w:r>
    </w:p>
    <w:p w:rsidR="00021742" w:rsidRDefault="00113D36" w:rsidP="00C02598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21742">
        <w:rPr>
          <w:sz w:val="24"/>
          <w:szCs w:val="24"/>
        </w:rPr>
        <w:t>P</w:t>
      </w:r>
      <w:r w:rsidR="00472F4C">
        <w:rPr>
          <w:sz w:val="24"/>
          <w:szCs w:val="24"/>
        </w:rPr>
        <w:t>lánovaných</w:t>
      </w:r>
      <w:r w:rsidR="00021742">
        <w:rPr>
          <w:sz w:val="24"/>
          <w:szCs w:val="24"/>
        </w:rPr>
        <w:t xml:space="preserve"> zm</w:t>
      </w:r>
      <w:r w:rsidR="00472F4C">
        <w:rPr>
          <w:sz w:val="24"/>
          <w:szCs w:val="24"/>
        </w:rPr>
        <w:t>ien</w:t>
      </w:r>
      <w:r w:rsidR="00021742">
        <w:rPr>
          <w:sz w:val="24"/>
          <w:szCs w:val="24"/>
        </w:rPr>
        <w:t xml:space="preserve"> výdavkov v rozpočtovanom roku</w:t>
      </w:r>
      <w:r w:rsidR="00472F4C">
        <w:rPr>
          <w:sz w:val="24"/>
          <w:szCs w:val="24"/>
        </w:rPr>
        <w:t>, ktoré:</w:t>
      </w:r>
    </w:p>
    <w:p w:rsidR="00021742" w:rsidRDefault="00021742" w:rsidP="00C02598">
      <w:pPr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„vyplývajú zo zmeny politík“ (nová legislatíva s účinnosťou v rozpočtovanom roku, strategické rezortné a medzirezortné opatrenia – „politiky“)</w:t>
      </w:r>
    </w:p>
    <w:p w:rsidR="00021742" w:rsidRDefault="00021742" w:rsidP="00C02598">
      <w:pPr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 „nesúvisia so zmenou politík“ (inflácia, platná legislatíva týkajúca sa valorizácie cien a miezd)</w:t>
      </w:r>
    </w:p>
    <w:p w:rsidR="00021742" w:rsidRPr="00944D2F" w:rsidRDefault="00021742" w:rsidP="00C02598">
      <w:pPr>
        <w:spacing w:line="276" w:lineRule="auto"/>
        <w:ind w:left="0"/>
        <w:rPr>
          <w:color w:val="FF0000"/>
          <w:sz w:val="24"/>
          <w:szCs w:val="24"/>
          <w:u w:val="single"/>
        </w:rPr>
      </w:pPr>
      <w:r w:rsidRPr="00944D2F">
        <w:rPr>
          <w:color w:val="FF0000"/>
          <w:sz w:val="24"/>
          <w:szCs w:val="24"/>
          <w:u w:val="single"/>
        </w:rPr>
        <w:t xml:space="preserve">Rozpočtovaním sa </w:t>
      </w:r>
      <w:r w:rsidR="00472F4C" w:rsidRPr="00944D2F">
        <w:rPr>
          <w:color w:val="FF0000"/>
          <w:sz w:val="24"/>
          <w:szCs w:val="24"/>
          <w:u w:val="single"/>
        </w:rPr>
        <w:t>plánujú prognózované výdavky v rozpočtovanom roku.</w:t>
      </w:r>
      <w:r w:rsidRPr="00944D2F">
        <w:rPr>
          <w:color w:val="FF0000"/>
          <w:sz w:val="24"/>
          <w:szCs w:val="24"/>
          <w:u w:val="single"/>
        </w:rPr>
        <w:t xml:space="preserve"> </w:t>
      </w:r>
    </w:p>
    <w:p w:rsidR="00472F4C" w:rsidRDefault="00472F4C" w:rsidP="00C02598">
      <w:pPr>
        <w:spacing w:line="276" w:lineRule="auto"/>
        <w:ind w:left="0"/>
        <w:rPr>
          <w:sz w:val="24"/>
          <w:szCs w:val="24"/>
        </w:rPr>
      </w:pPr>
      <w:r w:rsidRPr="00944D2F">
        <w:rPr>
          <w:b/>
          <w:sz w:val="24"/>
          <w:szCs w:val="24"/>
        </w:rPr>
        <w:t>2/ štruktúra ŠAS = štruktúra výdavkov ŠAS</w:t>
      </w:r>
      <w:r>
        <w:rPr>
          <w:sz w:val="24"/>
          <w:szCs w:val="24"/>
        </w:rPr>
        <w:t xml:space="preserve"> ( cca 19% výdavkov VZP)</w:t>
      </w:r>
    </w:p>
    <w:p w:rsidR="00472F4C" w:rsidRDefault="00472F4C" w:rsidP="00C02598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Vieme koľko peňazí ktorý medicínsky odbor ŠAS potrebuje, pričom rozhodujúca je hustota siete JMO ŠAS a investičná náročnosť aplikovaných medicínskych technológií</w:t>
      </w:r>
    </w:p>
    <w:p w:rsidR="00472F4C" w:rsidRDefault="00472F4C" w:rsidP="00C02598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Poznáme počet poskytovateľov / lekárskych miest (LM) JMO ŠAS</w:t>
      </w:r>
      <w:r w:rsidR="00557859">
        <w:rPr>
          <w:sz w:val="24"/>
          <w:szCs w:val="24"/>
        </w:rPr>
        <w:t xml:space="preserve"> – PZS JMO ŠAS</w:t>
      </w:r>
    </w:p>
    <w:p w:rsidR="00472F4C" w:rsidRDefault="00472F4C" w:rsidP="00C02598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Poznáme náklady na jednotlivé vyšetrenie JMO ŠAS (podľa celkového počtu vyšetrení </w:t>
      </w:r>
      <w:r w:rsidR="00944D2F">
        <w:rPr>
          <w:sz w:val="24"/>
          <w:szCs w:val="24"/>
        </w:rPr>
        <w:t xml:space="preserve">všetkých jednotlivých PZS JMO ŠAS </w:t>
      </w:r>
      <w:r>
        <w:rPr>
          <w:sz w:val="24"/>
          <w:szCs w:val="24"/>
        </w:rPr>
        <w:t>a celkových nákladov JMO ŠAS</w:t>
      </w:r>
      <w:r w:rsidR="00944D2F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472F4C">
        <w:rPr>
          <w:sz w:val="24"/>
          <w:szCs w:val="24"/>
        </w:rPr>
        <w:t xml:space="preserve"> </w:t>
      </w:r>
    </w:p>
    <w:p w:rsidR="00944D2F" w:rsidRDefault="00944D2F" w:rsidP="00C02598">
      <w:pPr>
        <w:spacing w:line="276" w:lineRule="auto"/>
        <w:ind w:left="0"/>
        <w:rPr>
          <w:b/>
          <w:sz w:val="24"/>
          <w:szCs w:val="24"/>
        </w:rPr>
      </w:pPr>
      <w:r w:rsidRPr="00944D2F">
        <w:rPr>
          <w:b/>
          <w:sz w:val="24"/>
          <w:szCs w:val="24"/>
        </w:rPr>
        <w:t>3/ nastavenie, korekčné funkcie a podmienky správneho fungovania navr</w:t>
      </w:r>
      <w:r>
        <w:rPr>
          <w:b/>
          <w:sz w:val="24"/>
          <w:szCs w:val="24"/>
        </w:rPr>
        <w:t xml:space="preserve">hovaného </w:t>
      </w:r>
      <w:r w:rsidRPr="00944D2F">
        <w:rPr>
          <w:b/>
          <w:sz w:val="24"/>
          <w:szCs w:val="24"/>
        </w:rPr>
        <w:t>ÚHM ŠAS</w:t>
      </w:r>
    </w:p>
    <w:p w:rsidR="004B74A5" w:rsidRPr="00D2302C" w:rsidRDefault="004B74A5" w:rsidP="00C02598">
      <w:pPr>
        <w:spacing w:line="276" w:lineRule="auto"/>
        <w:ind w:left="0"/>
        <w:jc w:val="both"/>
        <w:rPr>
          <w:b/>
          <w:color w:val="1F497D" w:themeColor="text2"/>
          <w:sz w:val="24"/>
          <w:szCs w:val="24"/>
          <w:u w:val="single"/>
        </w:rPr>
      </w:pPr>
      <w:r w:rsidRPr="00D2302C">
        <w:rPr>
          <w:b/>
          <w:color w:val="1F497D" w:themeColor="text2"/>
          <w:sz w:val="24"/>
          <w:szCs w:val="24"/>
          <w:u w:val="single"/>
        </w:rPr>
        <w:t>3.1/ jednotkové ceny (PU + JCV) JMO ŠAS je potrebné vzťahovať k priemernej mzde v NH</w:t>
      </w:r>
    </w:p>
    <w:p w:rsidR="00956A47" w:rsidRPr="00557859" w:rsidRDefault="004B74A5" w:rsidP="00C02598">
      <w:pPr>
        <w:spacing w:line="276" w:lineRule="auto"/>
        <w:ind w:left="0"/>
        <w:jc w:val="both"/>
        <w:rPr>
          <w:sz w:val="24"/>
          <w:szCs w:val="24"/>
        </w:rPr>
      </w:pPr>
      <w:r w:rsidRPr="00D2302C">
        <w:rPr>
          <w:b/>
          <w:color w:val="1F497D" w:themeColor="text2"/>
          <w:sz w:val="24"/>
          <w:szCs w:val="24"/>
          <w:u w:val="single"/>
        </w:rPr>
        <w:t xml:space="preserve">3.2/ korekciou </w:t>
      </w:r>
      <w:r w:rsidR="00D2302C" w:rsidRPr="00D2302C">
        <w:rPr>
          <w:b/>
          <w:color w:val="1F497D" w:themeColor="text2"/>
          <w:sz w:val="24"/>
          <w:szCs w:val="24"/>
          <w:u w:val="single"/>
        </w:rPr>
        <w:t xml:space="preserve">nároku PZS na výšku PU podľa počtu LM JMO - </w:t>
      </w:r>
      <w:r w:rsidRPr="00D2302C">
        <w:rPr>
          <w:b/>
          <w:color w:val="1F497D" w:themeColor="text2"/>
          <w:sz w:val="24"/>
          <w:szCs w:val="24"/>
          <w:u w:val="single"/>
        </w:rPr>
        <w:t>PZS/LM</w:t>
      </w:r>
      <w:r>
        <w:rPr>
          <w:sz w:val="24"/>
          <w:szCs w:val="24"/>
        </w:rPr>
        <w:t xml:space="preserve"> (počet lekárskych miest JMO ŠAS u jednotlivého poskytovateľa) </w:t>
      </w:r>
      <w:r w:rsidRPr="00D2302C">
        <w:rPr>
          <w:sz w:val="24"/>
          <w:szCs w:val="24"/>
        </w:rPr>
        <w:t xml:space="preserve">je </w:t>
      </w:r>
      <w:r w:rsidRPr="00557859">
        <w:rPr>
          <w:sz w:val="24"/>
          <w:szCs w:val="24"/>
        </w:rPr>
        <w:t xml:space="preserve">potrebné zvýšiť nárok PZS na </w:t>
      </w:r>
      <w:r w:rsidR="00FB1600" w:rsidRPr="00557859">
        <w:rPr>
          <w:sz w:val="24"/>
          <w:szCs w:val="24"/>
        </w:rPr>
        <w:t>výšku PU</w:t>
      </w:r>
      <w:r>
        <w:rPr>
          <w:sz w:val="24"/>
          <w:szCs w:val="24"/>
        </w:rPr>
        <w:t xml:space="preserve"> násobkom vo výške celkového pracovného úväzku LM (s podmienkou zodpovedajúcej výšky úväzku sestry</w:t>
      </w:r>
      <w:r w:rsidR="00956A47">
        <w:rPr>
          <w:sz w:val="24"/>
          <w:szCs w:val="24"/>
        </w:rPr>
        <w:t xml:space="preserve">) </w:t>
      </w:r>
      <w:r w:rsidR="00956A47" w:rsidRPr="00557859">
        <w:rPr>
          <w:sz w:val="24"/>
          <w:szCs w:val="24"/>
        </w:rPr>
        <w:t>– podpora integrácie ŠAS</w:t>
      </w:r>
    </w:p>
    <w:p w:rsidR="004B74A5" w:rsidRDefault="00956A47" w:rsidP="00C02598">
      <w:pPr>
        <w:spacing w:line="276" w:lineRule="auto"/>
        <w:ind w:left="0"/>
        <w:jc w:val="both"/>
        <w:rPr>
          <w:sz w:val="24"/>
          <w:szCs w:val="24"/>
        </w:rPr>
      </w:pPr>
      <w:r w:rsidRPr="00D2302C">
        <w:rPr>
          <w:b/>
          <w:color w:val="1F497D" w:themeColor="text2"/>
          <w:sz w:val="24"/>
          <w:szCs w:val="24"/>
          <w:u w:val="single"/>
        </w:rPr>
        <w:t xml:space="preserve">3.3/ </w:t>
      </w:r>
      <w:r w:rsidR="00557859" w:rsidRPr="00D2302C">
        <w:rPr>
          <w:b/>
          <w:color w:val="1F497D" w:themeColor="text2"/>
          <w:sz w:val="24"/>
          <w:szCs w:val="24"/>
          <w:u w:val="single"/>
        </w:rPr>
        <w:t xml:space="preserve">korekciou </w:t>
      </w:r>
      <w:r w:rsidRPr="00D2302C">
        <w:rPr>
          <w:b/>
          <w:color w:val="1F497D" w:themeColor="text2"/>
          <w:sz w:val="24"/>
          <w:szCs w:val="24"/>
          <w:u w:val="single"/>
        </w:rPr>
        <w:t>nárok</w:t>
      </w:r>
      <w:r w:rsidR="00557859" w:rsidRPr="00D2302C">
        <w:rPr>
          <w:b/>
          <w:color w:val="1F497D" w:themeColor="text2"/>
          <w:sz w:val="24"/>
          <w:szCs w:val="24"/>
          <w:u w:val="single"/>
        </w:rPr>
        <w:t>u PZS</w:t>
      </w:r>
      <w:r w:rsidRPr="00D2302C">
        <w:rPr>
          <w:b/>
          <w:color w:val="1F497D" w:themeColor="text2"/>
          <w:sz w:val="24"/>
          <w:szCs w:val="24"/>
          <w:u w:val="single"/>
        </w:rPr>
        <w:t xml:space="preserve"> na PU</w:t>
      </w:r>
      <w:r w:rsidR="00D2302C" w:rsidRPr="00D2302C">
        <w:rPr>
          <w:b/>
          <w:color w:val="1F497D" w:themeColor="text2"/>
          <w:sz w:val="24"/>
          <w:szCs w:val="24"/>
          <w:u w:val="single"/>
        </w:rPr>
        <w:t xml:space="preserve"> podľa výkonnosti</w:t>
      </w:r>
      <w:r w:rsidR="00C11E22">
        <w:rPr>
          <w:b/>
          <w:color w:val="1F497D" w:themeColor="text2"/>
          <w:sz w:val="24"/>
          <w:szCs w:val="24"/>
          <w:u w:val="single"/>
        </w:rPr>
        <w:t xml:space="preserve"> (korekčný výkonnostný koeficient –KVK)</w:t>
      </w:r>
      <w:r w:rsidR="004E68A3">
        <w:rPr>
          <w:sz w:val="24"/>
          <w:szCs w:val="24"/>
        </w:rPr>
        <w:t xml:space="preserve"> je potrebné </w:t>
      </w:r>
      <w:r w:rsidR="00D2302C">
        <w:rPr>
          <w:sz w:val="24"/>
          <w:szCs w:val="24"/>
        </w:rPr>
        <w:t>stanoviť, že na PU</w:t>
      </w:r>
      <w:r>
        <w:rPr>
          <w:sz w:val="24"/>
          <w:szCs w:val="24"/>
        </w:rPr>
        <w:t xml:space="preserve"> </w:t>
      </w:r>
      <w:r w:rsidR="00557859">
        <w:rPr>
          <w:sz w:val="24"/>
          <w:szCs w:val="24"/>
        </w:rPr>
        <w:t xml:space="preserve">má </w:t>
      </w:r>
      <w:r w:rsidR="00D2302C">
        <w:rPr>
          <w:sz w:val="24"/>
          <w:szCs w:val="24"/>
        </w:rPr>
        <w:t>nárok l</w:t>
      </w:r>
      <w:r w:rsidR="00557859">
        <w:rPr>
          <w:sz w:val="24"/>
          <w:szCs w:val="24"/>
        </w:rPr>
        <w:t xml:space="preserve">en PZS JMO ŠAS, ktorý vo vykazovanom zúčtovacom období v súčte s predchádzajúcim zúčtovacím obdobím vykazuje najmenej 1,75 násobok </w:t>
      </w:r>
      <w:r w:rsidR="00890807">
        <w:rPr>
          <w:sz w:val="24"/>
          <w:szCs w:val="24"/>
        </w:rPr>
        <w:t>(</w:t>
      </w:r>
      <w:r w:rsidR="00C02598">
        <w:rPr>
          <w:sz w:val="24"/>
          <w:szCs w:val="24"/>
        </w:rPr>
        <w:t>v zákone</w:t>
      </w:r>
      <w:r w:rsidR="00890807">
        <w:rPr>
          <w:sz w:val="24"/>
          <w:szCs w:val="24"/>
        </w:rPr>
        <w:t>)</w:t>
      </w:r>
      <w:r w:rsidR="00C02598">
        <w:rPr>
          <w:sz w:val="24"/>
          <w:szCs w:val="24"/>
        </w:rPr>
        <w:t xml:space="preserve"> stanoven</w:t>
      </w:r>
      <w:r w:rsidR="00C11E22">
        <w:rPr>
          <w:sz w:val="24"/>
          <w:szCs w:val="24"/>
        </w:rPr>
        <w:t>ého</w:t>
      </w:r>
      <w:r w:rsidR="00C02598">
        <w:rPr>
          <w:sz w:val="24"/>
          <w:szCs w:val="24"/>
        </w:rPr>
        <w:t xml:space="preserve"> </w:t>
      </w:r>
      <w:r w:rsidR="00557859">
        <w:rPr>
          <w:sz w:val="24"/>
          <w:szCs w:val="24"/>
        </w:rPr>
        <w:t>rozpočtovan</w:t>
      </w:r>
      <w:r w:rsidR="00C11E22">
        <w:rPr>
          <w:sz w:val="24"/>
          <w:szCs w:val="24"/>
        </w:rPr>
        <w:t>éh</w:t>
      </w:r>
      <w:r w:rsidR="00C02598">
        <w:rPr>
          <w:sz w:val="24"/>
          <w:szCs w:val="24"/>
        </w:rPr>
        <w:t>o</w:t>
      </w:r>
      <w:r w:rsidR="00557859">
        <w:rPr>
          <w:sz w:val="24"/>
          <w:szCs w:val="24"/>
        </w:rPr>
        <w:t xml:space="preserve"> počtu vyšetrení </w:t>
      </w:r>
      <w:r w:rsidR="00C11E22">
        <w:rPr>
          <w:sz w:val="24"/>
          <w:szCs w:val="24"/>
        </w:rPr>
        <w:t xml:space="preserve">u jednotlivého </w:t>
      </w:r>
      <w:r w:rsidR="00557859">
        <w:rPr>
          <w:sz w:val="24"/>
          <w:szCs w:val="24"/>
        </w:rPr>
        <w:t xml:space="preserve">PZS príslušného </w:t>
      </w:r>
      <w:r w:rsidR="00C02598">
        <w:rPr>
          <w:sz w:val="24"/>
          <w:szCs w:val="24"/>
        </w:rPr>
        <w:t>JMO ŠAS</w:t>
      </w:r>
      <w:r w:rsidR="00C11E22">
        <w:rPr>
          <w:sz w:val="24"/>
          <w:szCs w:val="24"/>
        </w:rPr>
        <w:t>.</w:t>
      </w:r>
      <w:r w:rsidR="00C02598">
        <w:rPr>
          <w:sz w:val="24"/>
          <w:szCs w:val="24"/>
        </w:rPr>
        <w:t xml:space="preserve"> </w:t>
      </w:r>
    </w:p>
    <w:p w:rsidR="00557859" w:rsidRDefault="00557859" w:rsidP="00C02598">
      <w:pPr>
        <w:spacing w:line="276" w:lineRule="auto"/>
        <w:ind w:left="0"/>
        <w:jc w:val="both"/>
        <w:rPr>
          <w:sz w:val="24"/>
          <w:szCs w:val="24"/>
        </w:rPr>
      </w:pPr>
      <w:r w:rsidRPr="00D2302C">
        <w:rPr>
          <w:b/>
          <w:color w:val="1F497D" w:themeColor="text2"/>
          <w:sz w:val="24"/>
          <w:szCs w:val="24"/>
          <w:u w:val="single"/>
        </w:rPr>
        <w:t xml:space="preserve">3.4/ </w:t>
      </w:r>
      <w:r w:rsidR="00D2302C" w:rsidRPr="00D2302C">
        <w:rPr>
          <w:b/>
          <w:color w:val="1F497D" w:themeColor="text2"/>
          <w:sz w:val="24"/>
          <w:szCs w:val="24"/>
          <w:u w:val="single"/>
        </w:rPr>
        <w:t>korekciou nároku PZS na výšku PU a výšku JVC podľa materiálno-technického vybavenia</w:t>
      </w:r>
      <w:r w:rsidR="004E68A3">
        <w:rPr>
          <w:sz w:val="24"/>
          <w:szCs w:val="24"/>
        </w:rPr>
        <w:t xml:space="preserve"> je potrebné </w:t>
      </w:r>
      <w:r w:rsidR="00D2302C">
        <w:rPr>
          <w:sz w:val="24"/>
          <w:szCs w:val="24"/>
        </w:rPr>
        <w:t>stanoviť 2-3 kategórie PZS JMO ŠAS podľa kvality materiálno-technického vybavenia</w:t>
      </w:r>
      <w:r w:rsidR="002967FB">
        <w:rPr>
          <w:sz w:val="24"/>
          <w:szCs w:val="24"/>
        </w:rPr>
        <w:t xml:space="preserve"> v súlade s požadovanými štandardmi, akceptovaným minimálnym vybavením, prípadne nadštandardným vybavením v súlade s požiadavkami na klinickú a paraklinickú medicínsku prax v príslušnom JMO</w:t>
      </w:r>
      <w:r w:rsidR="00113D36">
        <w:rPr>
          <w:sz w:val="24"/>
          <w:szCs w:val="24"/>
        </w:rPr>
        <w:t xml:space="preserve"> ŠAS</w:t>
      </w:r>
      <w:r w:rsidR="002967FB">
        <w:rPr>
          <w:sz w:val="24"/>
          <w:szCs w:val="24"/>
        </w:rPr>
        <w:t>. Násobkom arbitrárne stanoven</w:t>
      </w:r>
      <w:r w:rsidR="00113D36">
        <w:rPr>
          <w:sz w:val="24"/>
          <w:szCs w:val="24"/>
        </w:rPr>
        <w:t>ého koeficient</w:t>
      </w:r>
      <w:r w:rsidR="002967FB">
        <w:rPr>
          <w:sz w:val="24"/>
          <w:szCs w:val="24"/>
        </w:rPr>
        <w:t xml:space="preserve">u (napr. 0,9..1,0..1,1) by sa určovala konečná výška PU a JCV u konkrétneho PZS JMO ŠAS. </w:t>
      </w:r>
    </w:p>
    <w:p w:rsidR="00DE2D75" w:rsidRDefault="00DE2D75" w:rsidP="00C02598">
      <w:pPr>
        <w:spacing w:line="276" w:lineRule="auto"/>
        <w:ind w:left="0"/>
        <w:jc w:val="both"/>
        <w:rPr>
          <w:b/>
          <w:color w:val="1F497D" w:themeColor="text2"/>
          <w:sz w:val="24"/>
          <w:szCs w:val="24"/>
          <w:u w:val="single"/>
        </w:rPr>
      </w:pPr>
      <w:r w:rsidRPr="00113D36">
        <w:rPr>
          <w:b/>
          <w:color w:val="1F497D" w:themeColor="text2"/>
          <w:sz w:val="24"/>
          <w:szCs w:val="24"/>
          <w:u w:val="single"/>
        </w:rPr>
        <w:t xml:space="preserve">3.5/ </w:t>
      </w:r>
      <w:r w:rsidR="00113D36" w:rsidRPr="00113D36">
        <w:rPr>
          <w:b/>
          <w:color w:val="1F497D" w:themeColor="text2"/>
          <w:sz w:val="24"/>
          <w:szCs w:val="24"/>
          <w:u w:val="single"/>
        </w:rPr>
        <w:t>podmienky správneho fungovania ÚHM ŠAS</w:t>
      </w:r>
      <w:r w:rsidR="00890807">
        <w:rPr>
          <w:b/>
          <w:color w:val="1F497D" w:themeColor="text2"/>
          <w:sz w:val="24"/>
          <w:szCs w:val="24"/>
          <w:u w:val="single"/>
        </w:rPr>
        <w:t xml:space="preserve"> v rámci spoločnej</w:t>
      </w:r>
      <w:r w:rsidR="002C0B9B">
        <w:rPr>
          <w:b/>
          <w:color w:val="1F497D" w:themeColor="text2"/>
          <w:sz w:val="24"/>
          <w:szCs w:val="24"/>
          <w:u w:val="single"/>
        </w:rPr>
        <w:t xml:space="preserve"> úhradovej legislatívy pre celý ambulantný sektor</w:t>
      </w:r>
      <w:r w:rsidR="00113D36">
        <w:rPr>
          <w:b/>
          <w:color w:val="1F497D" w:themeColor="text2"/>
          <w:sz w:val="24"/>
          <w:szCs w:val="24"/>
          <w:u w:val="single"/>
        </w:rPr>
        <w:t xml:space="preserve"> (o.i.):</w:t>
      </w:r>
    </w:p>
    <w:p w:rsidR="00113D36" w:rsidRDefault="00F26975" w:rsidP="00C02598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systémové legislatívne úpravy, ktoré zefektívnia výkon kompetencií a koordináciu VLD a ŠAS – odstránenie „delegovan</w:t>
      </w:r>
      <w:r w:rsidR="002C0B9B">
        <w:rPr>
          <w:sz w:val="24"/>
          <w:szCs w:val="24"/>
        </w:rPr>
        <w:t>ej</w:t>
      </w:r>
      <w:r>
        <w:rPr>
          <w:sz w:val="24"/>
          <w:szCs w:val="24"/>
        </w:rPr>
        <w:t xml:space="preserve">“ preskripcie (Zákon 362/2011 z.z.), úprava dispenzárnej starostlivosti (dnes </w:t>
      </w:r>
      <w:r w:rsidRPr="00F26975">
        <w:rPr>
          <w:sz w:val="24"/>
          <w:szCs w:val="24"/>
        </w:rPr>
        <w:t>Vyhláška MZ SR 127/2014), úprava katalógu výkonov (dnes Nariadenie vlády 776/2004)</w:t>
      </w:r>
      <w:r w:rsidR="002C0B9B">
        <w:rPr>
          <w:sz w:val="24"/>
          <w:szCs w:val="24"/>
        </w:rPr>
        <w:t>, úprava minimálnej siete (dnes Nariadenie vlády 640/2008)</w:t>
      </w:r>
      <w:r w:rsidR="00C7407E">
        <w:rPr>
          <w:sz w:val="24"/>
          <w:szCs w:val="24"/>
        </w:rPr>
        <w:t xml:space="preserve"> – viz. aj stanovisko ZVLD SR v prílohe</w:t>
      </w:r>
    </w:p>
    <w:p w:rsidR="00ED6060" w:rsidRDefault="002C0B9B" w:rsidP="00C02598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ŠDTP oprávňujúce postupy klinickej praxe ako správne </w:t>
      </w:r>
      <w:r w:rsidR="00ED6060">
        <w:rPr>
          <w:sz w:val="24"/>
          <w:szCs w:val="24"/>
        </w:rPr>
        <w:t>z forenzného hľadiska, ako aj v záujme správnej koordinácie VLD a ŠAS v prospech pacienta, medicínskej, ako aj ekonomickej efektivity ZS</w:t>
      </w:r>
      <w:r w:rsidR="00C7407E">
        <w:rPr>
          <w:sz w:val="24"/>
          <w:szCs w:val="24"/>
        </w:rPr>
        <w:t xml:space="preserve"> a dodržiavanie </w:t>
      </w:r>
      <w:r w:rsidR="00ED6060">
        <w:rPr>
          <w:sz w:val="24"/>
          <w:szCs w:val="24"/>
        </w:rPr>
        <w:t xml:space="preserve">zákonom stanovených pravidiel – </w:t>
      </w:r>
      <w:r w:rsidR="00C7407E">
        <w:rPr>
          <w:sz w:val="24"/>
          <w:szCs w:val="24"/>
        </w:rPr>
        <w:t xml:space="preserve">výmenný lístok, ako </w:t>
      </w:r>
      <w:r w:rsidR="00ED6060">
        <w:rPr>
          <w:sz w:val="24"/>
          <w:szCs w:val="24"/>
        </w:rPr>
        <w:t>jednosmerné požadovanie VLD vo vzťahu k ŠAS (ŠAS môže požadovať len od ŠAS a vyšších organizačných úrovní ZS)</w:t>
      </w:r>
    </w:p>
    <w:p w:rsidR="005D03C9" w:rsidRPr="00CF7733" w:rsidRDefault="00ED6060" w:rsidP="00C02598">
      <w:pPr>
        <w:spacing w:line="276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 </w:t>
      </w:r>
      <w:r w:rsidR="005610AF">
        <w:rPr>
          <w:sz w:val="24"/>
          <w:szCs w:val="24"/>
        </w:rPr>
        <w:t>pri rozpočtovaní</w:t>
      </w:r>
      <w:r w:rsidR="00363942">
        <w:rPr>
          <w:sz w:val="24"/>
          <w:szCs w:val="24"/>
        </w:rPr>
        <w:t xml:space="preserve"> </w:t>
      </w:r>
      <w:r w:rsidR="00C7407E">
        <w:rPr>
          <w:sz w:val="24"/>
          <w:szCs w:val="24"/>
        </w:rPr>
        <w:t>výkonov JMO ŠAS je vhodné</w:t>
      </w:r>
      <w:r w:rsidR="005610AF">
        <w:rPr>
          <w:sz w:val="24"/>
          <w:szCs w:val="24"/>
        </w:rPr>
        <w:t xml:space="preserve"> brať ako rozhodujúci </w:t>
      </w:r>
      <w:r w:rsidR="00C7407E">
        <w:rPr>
          <w:sz w:val="24"/>
          <w:szCs w:val="24"/>
        </w:rPr>
        <w:t xml:space="preserve">počet výkonov </w:t>
      </w:r>
      <w:r w:rsidR="005610AF">
        <w:rPr>
          <w:sz w:val="24"/>
          <w:szCs w:val="24"/>
        </w:rPr>
        <w:t xml:space="preserve">priemer počtu výkonov za 2 roky predchádzajúce aktuálnemu roku (minulý a predminulý rok), prípadne zohľadniť trend počtu výkonov v aktuálnom roku v záujme </w:t>
      </w:r>
      <w:r w:rsidR="00F457FB">
        <w:rPr>
          <w:sz w:val="24"/>
          <w:szCs w:val="24"/>
        </w:rPr>
        <w:t>korekcie</w:t>
      </w:r>
      <w:r w:rsidR="005610AF">
        <w:rPr>
          <w:sz w:val="24"/>
          <w:szCs w:val="24"/>
        </w:rPr>
        <w:t xml:space="preserve"> </w:t>
      </w:r>
      <w:r w:rsidR="00F457FB">
        <w:rPr>
          <w:sz w:val="24"/>
          <w:szCs w:val="24"/>
        </w:rPr>
        <w:t xml:space="preserve">možnej fluktuácie počtu výkonov v prípade málo pravdepodobného koordinovaného špekulatívneho konania všetkých PZS JMO ŠAS. </w:t>
      </w:r>
      <w:r w:rsidR="00C7407E">
        <w:rPr>
          <w:sz w:val="24"/>
          <w:szCs w:val="24"/>
        </w:rPr>
        <w:t xml:space="preserve">Je </w:t>
      </w:r>
      <w:r w:rsidR="00B16E0B">
        <w:rPr>
          <w:sz w:val="24"/>
          <w:szCs w:val="24"/>
        </w:rPr>
        <w:t xml:space="preserve">to </w:t>
      </w:r>
      <w:r w:rsidR="00C7407E">
        <w:rPr>
          <w:sz w:val="24"/>
          <w:szCs w:val="24"/>
        </w:rPr>
        <w:t xml:space="preserve">odôvodnené tým, že </w:t>
      </w:r>
      <w:r w:rsidR="00C7407E" w:rsidRPr="00C7407E">
        <w:rPr>
          <w:sz w:val="24"/>
          <w:szCs w:val="24"/>
          <w:u w:val="single"/>
        </w:rPr>
        <w:t>n</w:t>
      </w:r>
      <w:r w:rsidR="00F457FB" w:rsidRPr="00C7407E">
        <w:rPr>
          <w:sz w:val="24"/>
          <w:szCs w:val="24"/>
          <w:u w:val="single"/>
        </w:rPr>
        <w:t>a</w:t>
      </w:r>
      <w:r w:rsidR="00F457FB" w:rsidRPr="00CF7733">
        <w:rPr>
          <w:sz w:val="24"/>
          <w:szCs w:val="24"/>
          <w:u w:val="single"/>
        </w:rPr>
        <w:t>vrhovaný spôsob financovania súčtom PU a násobku JCV pôsobí proti nadmernému vykazovaniu výkonov (za menej práce poskytuje viac peňazí</w:t>
      </w:r>
      <w:r w:rsidR="00824FFC">
        <w:rPr>
          <w:sz w:val="24"/>
          <w:szCs w:val="24"/>
          <w:u w:val="single"/>
        </w:rPr>
        <w:t xml:space="preserve"> a tým relatívne nadhodnocuje / zvyšuje JCV</w:t>
      </w:r>
      <w:r w:rsidR="00B8034C" w:rsidRPr="00CF7733">
        <w:rPr>
          <w:sz w:val="24"/>
          <w:szCs w:val="24"/>
          <w:u w:val="single"/>
        </w:rPr>
        <w:t xml:space="preserve">). </w:t>
      </w:r>
    </w:p>
    <w:p w:rsidR="005D03C9" w:rsidRPr="00CF7733" w:rsidRDefault="00824FFC" w:rsidP="00C02598">
      <w:pPr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 potrebné zvážiť</w:t>
      </w:r>
      <w:r w:rsidR="005D03C9" w:rsidRPr="00CF7733">
        <w:rPr>
          <w:b/>
          <w:sz w:val="24"/>
          <w:szCs w:val="24"/>
        </w:rPr>
        <w:t>:</w:t>
      </w:r>
    </w:p>
    <w:p w:rsidR="005D03C9" w:rsidRDefault="00CF7733" w:rsidP="00C02598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F7733">
        <w:rPr>
          <w:b/>
          <w:sz w:val="24"/>
          <w:szCs w:val="24"/>
        </w:rPr>
        <w:t>pomer PU/</w:t>
      </w:r>
      <w:r w:rsidR="00F457FB" w:rsidRPr="00CF7733">
        <w:rPr>
          <w:b/>
          <w:sz w:val="24"/>
          <w:szCs w:val="24"/>
        </w:rPr>
        <w:t>JCV</w:t>
      </w:r>
      <w:r>
        <w:rPr>
          <w:sz w:val="24"/>
          <w:szCs w:val="24"/>
        </w:rPr>
        <w:t xml:space="preserve"> (východiskovo 25% / 75% </w:t>
      </w:r>
      <w:r w:rsidR="002176CE">
        <w:rPr>
          <w:sz w:val="24"/>
          <w:szCs w:val="24"/>
        </w:rPr>
        <w:t>celkových nákladov JMO ŠAS – platné aj po vyjadrení PU a JCV ako podielu na priemernej mzde</w:t>
      </w:r>
      <w:r>
        <w:rPr>
          <w:sz w:val="24"/>
          <w:szCs w:val="24"/>
        </w:rPr>
        <w:t>)</w:t>
      </w:r>
      <w:r w:rsidR="005D03C9">
        <w:rPr>
          <w:sz w:val="24"/>
          <w:szCs w:val="24"/>
        </w:rPr>
        <w:t xml:space="preserve"> </w:t>
      </w:r>
      <w:r w:rsidR="00C7407E" w:rsidRPr="00C7407E">
        <w:rPr>
          <w:sz w:val="24"/>
          <w:szCs w:val="24"/>
          <w:u w:val="single"/>
        </w:rPr>
        <w:t>pretože</w:t>
      </w:r>
      <w:r w:rsidR="005D03C9" w:rsidRPr="00C7407E">
        <w:rPr>
          <w:sz w:val="24"/>
          <w:szCs w:val="24"/>
          <w:u w:val="single"/>
        </w:rPr>
        <w:t xml:space="preserve"> v</w:t>
      </w:r>
      <w:r w:rsidR="005D03C9" w:rsidRPr="004E398E">
        <w:rPr>
          <w:sz w:val="24"/>
          <w:szCs w:val="24"/>
          <w:u w:val="single"/>
        </w:rPr>
        <w:t>yšší pomer by p</w:t>
      </w:r>
      <w:r w:rsidR="00824FFC">
        <w:rPr>
          <w:sz w:val="24"/>
          <w:szCs w:val="24"/>
          <w:u w:val="single"/>
        </w:rPr>
        <w:t>otencoval</w:t>
      </w:r>
      <w:r w:rsidR="005D03C9" w:rsidRPr="004E398E">
        <w:rPr>
          <w:sz w:val="24"/>
          <w:szCs w:val="24"/>
          <w:u w:val="single"/>
        </w:rPr>
        <w:t xml:space="preserve"> </w:t>
      </w:r>
      <w:r w:rsidR="00824FFC" w:rsidRPr="004E398E">
        <w:rPr>
          <w:sz w:val="24"/>
          <w:szCs w:val="24"/>
          <w:u w:val="single"/>
        </w:rPr>
        <w:t>princíp „za menej práce viac peňazí“</w:t>
      </w:r>
      <w:r w:rsidR="00824FFC">
        <w:rPr>
          <w:sz w:val="24"/>
          <w:szCs w:val="24"/>
          <w:u w:val="single"/>
        </w:rPr>
        <w:t xml:space="preserve"> </w:t>
      </w:r>
      <w:r w:rsidR="002176CE" w:rsidRPr="004E398E">
        <w:rPr>
          <w:sz w:val="24"/>
          <w:szCs w:val="24"/>
          <w:u w:val="single"/>
        </w:rPr>
        <w:t>po splnení podmienky počtu vyšetrení na sprístupnenie PU</w:t>
      </w:r>
      <w:r w:rsidR="004E398E">
        <w:rPr>
          <w:sz w:val="24"/>
          <w:szCs w:val="24"/>
          <w:u w:val="single"/>
        </w:rPr>
        <w:t>,</w:t>
      </w:r>
      <w:r w:rsidR="004E398E" w:rsidRPr="00C7407E">
        <w:rPr>
          <w:sz w:val="24"/>
          <w:szCs w:val="24"/>
        </w:rPr>
        <w:t xml:space="preserve"> </w:t>
      </w:r>
      <w:r w:rsidR="004E398E">
        <w:rPr>
          <w:sz w:val="24"/>
          <w:szCs w:val="24"/>
        </w:rPr>
        <w:t xml:space="preserve">kedy </w:t>
      </w:r>
      <w:r w:rsidR="005D03C9">
        <w:rPr>
          <w:sz w:val="24"/>
          <w:szCs w:val="24"/>
        </w:rPr>
        <w:t>by nízka JCV nemotivovala vykazovať ďalšie vyšetrenia</w:t>
      </w:r>
      <w:r w:rsidR="00C7407E">
        <w:rPr>
          <w:sz w:val="24"/>
          <w:szCs w:val="24"/>
        </w:rPr>
        <w:t xml:space="preserve">, </w:t>
      </w:r>
      <w:r w:rsidR="005D03C9">
        <w:rPr>
          <w:sz w:val="24"/>
          <w:szCs w:val="24"/>
        </w:rPr>
        <w:t>znižovala by tým výkonnosť</w:t>
      </w:r>
      <w:r>
        <w:rPr>
          <w:sz w:val="24"/>
          <w:szCs w:val="24"/>
        </w:rPr>
        <w:t xml:space="preserve"> PZS</w:t>
      </w:r>
      <w:r w:rsidR="00021638">
        <w:rPr>
          <w:sz w:val="24"/>
          <w:szCs w:val="24"/>
        </w:rPr>
        <w:t xml:space="preserve"> a predražovala JCV</w:t>
      </w:r>
      <w:r>
        <w:rPr>
          <w:sz w:val="24"/>
          <w:szCs w:val="24"/>
        </w:rPr>
        <w:t>. P</w:t>
      </w:r>
      <w:r w:rsidR="00021638">
        <w:rPr>
          <w:sz w:val="24"/>
          <w:szCs w:val="24"/>
        </w:rPr>
        <w:t>re PZS bude zaujímavé koľko musí urobiť vyšetrení, aby sa mu sprístupnila PU a následne bude špekulovať, koľko sa mu ešte „chce“ pri stanovenej JCV pracovať – čím men</w:t>
      </w:r>
      <w:r w:rsidR="00824FFC">
        <w:rPr>
          <w:sz w:val="24"/>
          <w:szCs w:val="24"/>
        </w:rPr>
        <w:t>ší objem výkonov PZS vykáže</w:t>
      </w:r>
      <w:r w:rsidR="00021638">
        <w:rPr>
          <w:sz w:val="24"/>
          <w:szCs w:val="24"/>
        </w:rPr>
        <w:t xml:space="preserve"> po dosiahnutí PU, tým je cena za jednotlivé vyšetrenie u tohto PZS vyššia a predražuje sa poskytovaná ZS. Naopak, čím </w:t>
      </w:r>
      <w:r w:rsidR="00824FFC">
        <w:rPr>
          <w:sz w:val="24"/>
          <w:szCs w:val="24"/>
        </w:rPr>
        <w:t>väčší objem výkonov PZS vykáže po dosiahnutí PU,</w:t>
      </w:r>
      <w:r w:rsidR="00021638">
        <w:rPr>
          <w:sz w:val="24"/>
          <w:szCs w:val="24"/>
        </w:rPr>
        <w:t xml:space="preserve"> tým bude cena z</w:t>
      </w:r>
      <w:r w:rsidR="00E97AA2">
        <w:rPr>
          <w:sz w:val="24"/>
          <w:szCs w:val="24"/>
        </w:rPr>
        <w:t>a</w:t>
      </w:r>
      <w:r w:rsidR="00824FFC">
        <w:rPr>
          <w:sz w:val="24"/>
          <w:szCs w:val="24"/>
        </w:rPr>
        <w:t xml:space="preserve"> jednotlivé vyšetrenie nižšia. </w:t>
      </w:r>
      <w:r w:rsidR="00E97AA2">
        <w:rPr>
          <w:sz w:val="24"/>
          <w:szCs w:val="24"/>
        </w:rPr>
        <w:t>PZS si</w:t>
      </w:r>
      <w:r w:rsidR="00824FFC">
        <w:rPr>
          <w:sz w:val="24"/>
          <w:szCs w:val="24"/>
        </w:rPr>
        <w:t xml:space="preserve"> potom</w:t>
      </w:r>
      <w:r w:rsidR="00E97AA2">
        <w:rPr>
          <w:sz w:val="24"/>
          <w:szCs w:val="24"/>
        </w:rPr>
        <w:t xml:space="preserve"> môže špekulatívne zvyšovať svoj príjem </w:t>
      </w:r>
      <w:r w:rsidR="00824FFC">
        <w:rPr>
          <w:sz w:val="24"/>
          <w:szCs w:val="24"/>
        </w:rPr>
        <w:t xml:space="preserve">už len </w:t>
      </w:r>
      <w:r w:rsidR="00E97AA2">
        <w:rPr>
          <w:sz w:val="24"/>
          <w:szCs w:val="24"/>
        </w:rPr>
        <w:t>v režime „platba za výkon“</w:t>
      </w:r>
      <w:r w:rsidR="00B16E0B">
        <w:rPr>
          <w:sz w:val="24"/>
          <w:szCs w:val="24"/>
        </w:rPr>
        <w:t xml:space="preserve"> (fee-for-service)</w:t>
      </w:r>
      <w:r w:rsidR="004E398E">
        <w:rPr>
          <w:sz w:val="24"/>
          <w:szCs w:val="24"/>
        </w:rPr>
        <w:t xml:space="preserve">, ale práve proti tomuto typu špekulácie je navrhovaná filozofia financovania ŠAS </w:t>
      </w:r>
      <w:r w:rsidR="004E398E" w:rsidRPr="004E398E">
        <w:rPr>
          <w:sz w:val="24"/>
          <w:szCs w:val="24"/>
        </w:rPr>
        <w:t>súčtom PU a násobku JCV</w:t>
      </w:r>
      <w:r w:rsidR="004E398E">
        <w:rPr>
          <w:sz w:val="24"/>
          <w:szCs w:val="24"/>
        </w:rPr>
        <w:t>.</w:t>
      </w:r>
    </w:p>
    <w:p w:rsidR="000914C9" w:rsidRDefault="00824FFC" w:rsidP="00C02598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výšku</w:t>
      </w:r>
      <w:r w:rsidR="00F457FB" w:rsidRPr="004E398E">
        <w:rPr>
          <w:b/>
          <w:sz w:val="24"/>
          <w:szCs w:val="24"/>
        </w:rPr>
        <w:t xml:space="preserve"> korekčného </w:t>
      </w:r>
      <w:r w:rsidR="00C02598">
        <w:rPr>
          <w:b/>
          <w:sz w:val="24"/>
          <w:szCs w:val="24"/>
        </w:rPr>
        <w:t xml:space="preserve">výkonnostného </w:t>
      </w:r>
      <w:r w:rsidR="00F457FB" w:rsidRPr="004E398E">
        <w:rPr>
          <w:b/>
          <w:sz w:val="24"/>
          <w:szCs w:val="24"/>
        </w:rPr>
        <w:t xml:space="preserve">koeficientu </w:t>
      </w:r>
      <w:r w:rsidR="00C02598">
        <w:rPr>
          <w:b/>
          <w:sz w:val="24"/>
          <w:szCs w:val="24"/>
        </w:rPr>
        <w:t xml:space="preserve">- </w:t>
      </w:r>
      <w:r w:rsidR="00790CFF">
        <w:rPr>
          <w:b/>
          <w:sz w:val="24"/>
          <w:szCs w:val="24"/>
        </w:rPr>
        <w:t>K</w:t>
      </w:r>
      <w:r w:rsidR="00C02598">
        <w:rPr>
          <w:b/>
          <w:sz w:val="24"/>
          <w:szCs w:val="24"/>
        </w:rPr>
        <w:t>V</w:t>
      </w:r>
      <w:r w:rsidR="00790CFF">
        <w:rPr>
          <w:b/>
          <w:sz w:val="24"/>
          <w:szCs w:val="24"/>
        </w:rPr>
        <w:t>K</w:t>
      </w:r>
      <w:r w:rsidR="00B8034C" w:rsidRPr="005D03C9">
        <w:rPr>
          <w:sz w:val="24"/>
          <w:szCs w:val="24"/>
        </w:rPr>
        <w:t xml:space="preserve"> </w:t>
      </w:r>
      <w:r w:rsidR="004E398E">
        <w:rPr>
          <w:sz w:val="24"/>
          <w:szCs w:val="24"/>
        </w:rPr>
        <w:t xml:space="preserve">(vo východiskovom návrhu </w:t>
      </w:r>
      <w:r w:rsidR="00B8034C" w:rsidRPr="005D03C9">
        <w:rPr>
          <w:sz w:val="24"/>
          <w:szCs w:val="24"/>
        </w:rPr>
        <w:t>1,75</w:t>
      </w:r>
      <w:r w:rsidR="004E398E">
        <w:rPr>
          <w:sz w:val="24"/>
          <w:szCs w:val="24"/>
        </w:rPr>
        <w:t>)</w:t>
      </w:r>
      <w:r w:rsidR="002176CE">
        <w:rPr>
          <w:sz w:val="24"/>
          <w:szCs w:val="24"/>
        </w:rPr>
        <w:t>. Z</w:t>
      </w:r>
      <w:r w:rsidR="00E97AA2">
        <w:rPr>
          <w:sz w:val="24"/>
          <w:szCs w:val="24"/>
        </w:rPr>
        <w:t>nižovanie toht</w:t>
      </w:r>
      <w:r w:rsidR="004E398E">
        <w:rPr>
          <w:sz w:val="24"/>
          <w:szCs w:val="24"/>
        </w:rPr>
        <w:t xml:space="preserve">o koeficientu pôsobí synergicky, resp. rovnako ako </w:t>
      </w:r>
      <w:r w:rsidR="002176CE">
        <w:rPr>
          <w:sz w:val="24"/>
          <w:szCs w:val="24"/>
        </w:rPr>
        <w:t xml:space="preserve">prípadné </w:t>
      </w:r>
      <w:r w:rsidR="004E398E">
        <w:rPr>
          <w:sz w:val="24"/>
          <w:szCs w:val="24"/>
        </w:rPr>
        <w:t xml:space="preserve">zvyšovanie pomeru PU/JCV. </w:t>
      </w:r>
      <w:r w:rsidR="004E398E" w:rsidRPr="00824FFC">
        <w:rPr>
          <w:sz w:val="24"/>
          <w:szCs w:val="24"/>
          <w:u w:val="single"/>
        </w:rPr>
        <w:t>Korekčný koeficient za výkonnosť je možné priebežne znižovať až do preukázania trendu znižovania počtu vyšetrení.</w:t>
      </w:r>
      <w:r w:rsidR="004E398E">
        <w:rPr>
          <w:sz w:val="24"/>
          <w:szCs w:val="24"/>
        </w:rPr>
        <w:t xml:space="preserve"> </w:t>
      </w:r>
      <w:r w:rsidR="004E398E" w:rsidRPr="00824FFC">
        <w:rPr>
          <w:sz w:val="24"/>
          <w:szCs w:val="24"/>
        </w:rPr>
        <w:t xml:space="preserve">Tento koeficient je vhodnejší na detekciu skutočnej spotreby výkonov JMO ŠAS </w:t>
      </w:r>
      <w:r w:rsidR="002176CE" w:rsidRPr="00824FFC">
        <w:rPr>
          <w:sz w:val="24"/>
          <w:szCs w:val="24"/>
        </w:rPr>
        <w:t>(</w:t>
      </w:r>
      <w:r w:rsidR="004E398E" w:rsidRPr="00824FFC">
        <w:rPr>
          <w:sz w:val="24"/>
          <w:szCs w:val="24"/>
        </w:rPr>
        <w:t>ako zvyšovanie pomeru PU/JCV</w:t>
      </w:r>
      <w:r w:rsidR="002176CE" w:rsidRPr="00824FFC">
        <w:rPr>
          <w:sz w:val="24"/>
          <w:szCs w:val="24"/>
        </w:rPr>
        <w:t>).</w:t>
      </w:r>
      <w:r w:rsidR="004E398E" w:rsidRPr="00824FFC">
        <w:rPr>
          <w:sz w:val="24"/>
          <w:szCs w:val="24"/>
          <w:u w:val="single"/>
        </w:rPr>
        <w:t xml:space="preserve"> </w:t>
      </w:r>
    </w:p>
    <w:p w:rsidR="0098151F" w:rsidRPr="0098151F" w:rsidRDefault="0098151F" w:rsidP="0098151F">
      <w:pPr>
        <w:spacing w:line="276" w:lineRule="auto"/>
        <w:jc w:val="both"/>
        <w:rPr>
          <w:sz w:val="24"/>
          <w:szCs w:val="24"/>
        </w:rPr>
      </w:pPr>
    </w:p>
    <w:p w:rsidR="00D26A51" w:rsidRPr="00D26A51" w:rsidRDefault="00D26A51" w:rsidP="00C02598">
      <w:pPr>
        <w:spacing w:line="276" w:lineRule="auto"/>
        <w:ind w:left="0"/>
        <w:jc w:val="center"/>
        <w:rPr>
          <w:b/>
          <w:sz w:val="24"/>
          <w:szCs w:val="24"/>
        </w:rPr>
      </w:pPr>
      <w:r w:rsidRPr="00D26A51">
        <w:rPr>
          <w:b/>
          <w:sz w:val="24"/>
          <w:szCs w:val="24"/>
        </w:rPr>
        <w:t>III. ZHRNUTIE</w:t>
      </w:r>
    </w:p>
    <w:p w:rsidR="000914C9" w:rsidRDefault="000914C9" w:rsidP="00C02598">
      <w:pPr>
        <w:spacing w:line="276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Navrhovaný ÚHM </w:t>
      </w:r>
      <w:r w:rsidR="002176CE">
        <w:rPr>
          <w:sz w:val="24"/>
          <w:szCs w:val="24"/>
        </w:rPr>
        <w:t xml:space="preserve">ŠAS </w:t>
      </w:r>
      <w:r>
        <w:rPr>
          <w:sz w:val="24"/>
          <w:szCs w:val="24"/>
        </w:rPr>
        <w:t xml:space="preserve">je </w:t>
      </w:r>
      <w:r w:rsidRPr="006D58E3">
        <w:rPr>
          <w:sz w:val="24"/>
          <w:szCs w:val="24"/>
          <w:u w:val="single"/>
        </w:rPr>
        <w:t>metódou určovania skutočnej spotreby vyše</w:t>
      </w:r>
      <w:r w:rsidR="002176CE" w:rsidRPr="006D58E3">
        <w:rPr>
          <w:sz w:val="24"/>
          <w:szCs w:val="24"/>
          <w:u w:val="single"/>
        </w:rPr>
        <w:t>trení JMO ŠAS</w:t>
      </w:r>
      <w:r w:rsidR="002176CE">
        <w:rPr>
          <w:sz w:val="24"/>
          <w:szCs w:val="24"/>
        </w:rPr>
        <w:t xml:space="preserve">, odporúča </w:t>
      </w:r>
      <w:r>
        <w:rPr>
          <w:sz w:val="24"/>
          <w:szCs w:val="24"/>
        </w:rPr>
        <w:t xml:space="preserve"> stanoviť JCV </w:t>
      </w:r>
      <w:r w:rsidR="006D58E3">
        <w:rPr>
          <w:sz w:val="24"/>
          <w:szCs w:val="24"/>
        </w:rPr>
        <w:t xml:space="preserve">(cenu jednotlivého vyšetrenia) </w:t>
      </w:r>
      <w:r>
        <w:rPr>
          <w:sz w:val="24"/>
          <w:szCs w:val="24"/>
        </w:rPr>
        <w:t xml:space="preserve">ako podiel z priemernej mzdy v NH tak, aby </w:t>
      </w:r>
      <w:r w:rsidR="00D26A51">
        <w:rPr>
          <w:sz w:val="24"/>
          <w:szCs w:val="24"/>
        </w:rPr>
        <w:t xml:space="preserve">spolu </w:t>
      </w:r>
      <w:r w:rsidR="009D4686">
        <w:rPr>
          <w:sz w:val="24"/>
          <w:szCs w:val="24"/>
        </w:rPr>
        <w:t xml:space="preserve">so stanovením počtu rozpočtovaných vyšetrení pripadajúcich na </w:t>
      </w:r>
      <w:r w:rsidR="00775539">
        <w:rPr>
          <w:sz w:val="24"/>
          <w:szCs w:val="24"/>
        </w:rPr>
        <w:t xml:space="preserve">jednotlivého </w:t>
      </w:r>
      <w:r w:rsidR="009D4686">
        <w:rPr>
          <w:sz w:val="24"/>
          <w:szCs w:val="24"/>
        </w:rPr>
        <w:t xml:space="preserve">PZS JMO ŠAS odvodeným od počtu historických vyšetrení </w:t>
      </w:r>
      <w:r>
        <w:rPr>
          <w:sz w:val="24"/>
          <w:szCs w:val="24"/>
        </w:rPr>
        <w:t xml:space="preserve">bolo </w:t>
      </w:r>
      <w:r w:rsidRPr="006D58E3">
        <w:rPr>
          <w:sz w:val="24"/>
          <w:szCs w:val="24"/>
          <w:u w:val="single"/>
        </w:rPr>
        <w:t>možné plánovať výdavky na</w:t>
      </w:r>
      <w:r w:rsidR="006D58E3" w:rsidRPr="006D58E3">
        <w:rPr>
          <w:sz w:val="24"/>
          <w:szCs w:val="24"/>
          <w:u w:val="single"/>
        </w:rPr>
        <w:t xml:space="preserve"> efektívnu </w:t>
      </w:r>
      <w:r w:rsidRPr="006D58E3">
        <w:rPr>
          <w:sz w:val="24"/>
          <w:szCs w:val="24"/>
          <w:u w:val="single"/>
        </w:rPr>
        <w:t>JMO ŠAS</w:t>
      </w:r>
      <w:r w:rsidR="006D58E3" w:rsidRPr="006D58E3">
        <w:rPr>
          <w:sz w:val="24"/>
          <w:szCs w:val="24"/>
          <w:u w:val="single"/>
        </w:rPr>
        <w:t>, s minimalizáciou nadhodnocovania nákladov</w:t>
      </w:r>
      <w:r w:rsidR="008B7A90">
        <w:rPr>
          <w:sz w:val="24"/>
          <w:szCs w:val="24"/>
          <w:u w:val="single"/>
        </w:rPr>
        <w:t xml:space="preserve"> na</w:t>
      </w:r>
      <w:r w:rsidR="00775539">
        <w:rPr>
          <w:sz w:val="24"/>
          <w:szCs w:val="24"/>
          <w:u w:val="single"/>
        </w:rPr>
        <w:t xml:space="preserve"> JMO ŠAS</w:t>
      </w:r>
      <w:r w:rsidRPr="006D58E3">
        <w:rPr>
          <w:sz w:val="24"/>
          <w:szCs w:val="24"/>
          <w:u w:val="single"/>
        </w:rPr>
        <w:t>.</w:t>
      </w:r>
    </w:p>
    <w:p w:rsidR="0098151F" w:rsidRPr="00B16E0B" w:rsidRDefault="00B16E0B" w:rsidP="00C02598">
      <w:pPr>
        <w:spacing w:line="276" w:lineRule="auto"/>
        <w:ind w:left="0"/>
        <w:jc w:val="both"/>
        <w:rPr>
          <w:sz w:val="24"/>
          <w:szCs w:val="24"/>
        </w:rPr>
      </w:pPr>
      <w:r w:rsidRPr="00B16E0B">
        <w:rPr>
          <w:sz w:val="24"/>
          <w:szCs w:val="24"/>
        </w:rPr>
        <w:t>Pritom:</w:t>
      </w:r>
    </w:p>
    <w:p w:rsidR="00790CFF" w:rsidRPr="00775539" w:rsidRDefault="00790CFF" w:rsidP="00C02598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  <w:u w:val="single"/>
        </w:rPr>
      </w:pPr>
      <w:r w:rsidRPr="003C6DEB">
        <w:rPr>
          <w:sz w:val="24"/>
          <w:szCs w:val="24"/>
        </w:rPr>
        <w:t xml:space="preserve">Zvyšovanie pomeru PU/JCV </w:t>
      </w:r>
      <w:r w:rsidR="003C6DEB" w:rsidRPr="003C6DEB">
        <w:rPr>
          <w:sz w:val="24"/>
          <w:szCs w:val="24"/>
        </w:rPr>
        <w:t>a znižovanie K</w:t>
      </w:r>
      <w:r w:rsidR="00C02598">
        <w:rPr>
          <w:sz w:val="24"/>
          <w:szCs w:val="24"/>
        </w:rPr>
        <w:t>V</w:t>
      </w:r>
      <w:r w:rsidR="003C6DEB" w:rsidRPr="003C6DEB">
        <w:rPr>
          <w:sz w:val="24"/>
          <w:szCs w:val="24"/>
        </w:rPr>
        <w:t xml:space="preserve">K pôsobia proti nadmernému vykazovaniu výkonov, ale </w:t>
      </w:r>
      <w:r w:rsidR="00C02598">
        <w:rPr>
          <w:sz w:val="24"/>
          <w:szCs w:val="24"/>
        </w:rPr>
        <w:t xml:space="preserve">pri nesprávnom nastavení </w:t>
      </w:r>
      <w:r w:rsidR="00B00D14">
        <w:rPr>
          <w:sz w:val="24"/>
          <w:szCs w:val="24"/>
        </w:rPr>
        <w:t xml:space="preserve">nadhodnocujú </w:t>
      </w:r>
      <w:r w:rsidR="003C6DEB" w:rsidRPr="003C6DEB">
        <w:rPr>
          <w:sz w:val="24"/>
          <w:szCs w:val="24"/>
        </w:rPr>
        <w:t>JCV a</w:t>
      </w:r>
      <w:r w:rsidR="00300F3C">
        <w:rPr>
          <w:sz w:val="24"/>
          <w:szCs w:val="24"/>
        </w:rPr>
        <w:t> </w:t>
      </w:r>
      <w:r w:rsidR="00775539">
        <w:rPr>
          <w:sz w:val="24"/>
          <w:szCs w:val="24"/>
        </w:rPr>
        <w:t>tým</w:t>
      </w:r>
      <w:r w:rsidR="00300F3C">
        <w:rPr>
          <w:sz w:val="24"/>
          <w:szCs w:val="24"/>
        </w:rPr>
        <w:t xml:space="preserve"> vedú</w:t>
      </w:r>
      <w:r w:rsidR="00B00D14">
        <w:rPr>
          <w:sz w:val="24"/>
          <w:szCs w:val="24"/>
        </w:rPr>
        <w:t xml:space="preserve"> </w:t>
      </w:r>
      <w:r w:rsidR="00DC3301">
        <w:rPr>
          <w:sz w:val="24"/>
          <w:szCs w:val="24"/>
        </w:rPr>
        <w:t>k zvyšovaniu celkových nákladov</w:t>
      </w:r>
      <w:r w:rsidR="00233B84" w:rsidRPr="003C6DEB">
        <w:rPr>
          <w:sz w:val="24"/>
          <w:szCs w:val="24"/>
        </w:rPr>
        <w:t xml:space="preserve"> na JMO ŠAS</w:t>
      </w:r>
      <w:r w:rsidR="00C11E22">
        <w:rPr>
          <w:sz w:val="24"/>
          <w:szCs w:val="24"/>
        </w:rPr>
        <w:t>.</w:t>
      </w:r>
      <w:r w:rsidRPr="003C6DEB">
        <w:rPr>
          <w:sz w:val="24"/>
          <w:szCs w:val="24"/>
        </w:rPr>
        <w:t xml:space="preserve"> </w:t>
      </w:r>
    </w:p>
    <w:p w:rsidR="00775539" w:rsidRPr="003C6DEB" w:rsidRDefault="00775539" w:rsidP="00775539">
      <w:pPr>
        <w:pStyle w:val="Odsekzoznamu"/>
        <w:spacing w:line="276" w:lineRule="auto"/>
        <w:jc w:val="both"/>
        <w:rPr>
          <w:sz w:val="24"/>
          <w:szCs w:val="24"/>
          <w:u w:val="single"/>
        </w:rPr>
      </w:pPr>
    </w:p>
    <w:p w:rsidR="00775539" w:rsidRPr="00775539" w:rsidRDefault="003C6DEB" w:rsidP="00775539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C02598">
        <w:rPr>
          <w:sz w:val="24"/>
          <w:szCs w:val="24"/>
        </w:rPr>
        <w:t xml:space="preserve">nižovanie </w:t>
      </w:r>
      <w:r w:rsidR="00C02598" w:rsidRPr="003C6DEB">
        <w:rPr>
          <w:sz w:val="24"/>
          <w:szCs w:val="24"/>
        </w:rPr>
        <w:t>pomeru PU/JCV a</w:t>
      </w:r>
      <w:r w:rsidR="00C02598">
        <w:rPr>
          <w:sz w:val="24"/>
          <w:szCs w:val="24"/>
        </w:rPr>
        <w:t> </w:t>
      </w:r>
      <w:r w:rsidR="00C02598" w:rsidRPr="003C6DEB">
        <w:rPr>
          <w:sz w:val="24"/>
          <w:szCs w:val="24"/>
        </w:rPr>
        <w:t>z</w:t>
      </w:r>
      <w:r w:rsidR="00C02598">
        <w:rPr>
          <w:sz w:val="24"/>
          <w:szCs w:val="24"/>
        </w:rPr>
        <w:t xml:space="preserve">vyšovanie </w:t>
      </w:r>
      <w:r w:rsidR="00C02598" w:rsidRPr="003C6DEB">
        <w:rPr>
          <w:sz w:val="24"/>
          <w:szCs w:val="24"/>
        </w:rPr>
        <w:t>KV</w:t>
      </w:r>
      <w:r w:rsidR="00C02598">
        <w:rPr>
          <w:sz w:val="24"/>
          <w:szCs w:val="24"/>
        </w:rPr>
        <w:t>K približuje navrhovaný ÚHM k</w:t>
      </w:r>
      <w:r w:rsidR="00824FFC">
        <w:rPr>
          <w:sz w:val="24"/>
          <w:szCs w:val="24"/>
        </w:rPr>
        <w:t> systému „platba</w:t>
      </w:r>
      <w:r w:rsidR="00C02598">
        <w:rPr>
          <w:sz w:val="24"/>
          <w:szCs w:val="24"/>
        </w:rPr>
        <w:t xml:space="preserve"> za výkon“</w:t>
      </w:r>
      <w:r w:rsidR="00775539">
        <w:rPr>
          <w:sz w:val="24"/>
          <w:szCs w:val="24"/>
        </w:rPr>
        <w:t xml:space="preserve"> (fee-for-service), </w:t>
      </w:r>
      <w:r w:rsidR="00C02598">
        <w:rPr>
          <w:sz w:val="24"/>
          <w:szCs w:val="24"/>
        </w:rPr>
        <w:t xml:space="preserve">vedie </w:t>
      </w:r>
      <w:r w:rsidR="00300F3C">
        <w:rPr>
          <w:sz w:val="24"/>
          <w:szCs w:val="24"/>
        </w:rPr>
        <w:t xml:space="preserve">tým </w:t>
      </w:r>
      <w:r w:rsidR="00C02598">
        <w:rPr>
          <w:sz w:val="24"/>
          <w:szCs w:val="24"/>
        </w:rPr>
        <w:t>k</w:t>
      </w:r>
      <w:r w:rsidR="00B00D14">
        <w:rPr>
          <w:sz w:val="24"/>
          <w:szCs w:val="24"/>
        </w:rPr>
        <w:t> </w:t>
      </w:r>
      <w:r w:rsidR="00C02598">
        <w:rPr>
          <w:sz w:val="24"/>
          <w:szCs w:val="24"/>
        </w:rPr>
        <w:t>nekontrolovanému</w:t>
      </w:r>
      <w:r w:rsidR="00B00D14">
        <w:rPr>
          <w:sz w:val="24"/>
          <w:szCs w:val="24"/>
        </w:rPr>
        <w:t xml:space="preserve"> (</w:t>
      </w:r>
      <w:r w:rsidR="00DC3301">
        <w:rPr>
          <w:sz w:val="24"/>
          <w:szCs w:val="24"/>
        </w:rPr>
        <w:t>„</w:t>
      </w:r>
      <w:r w:rsidR="00B00D14">
        <w:rPr>
          <w:sz w:val="24"/>
          <w:szCs w:val="24"/>
        </w:rPr>
        <w:t>bezlimitnému</w:t>
      </w:r>
      <w:r w:rsidR="00DC3301">
        <w:rPr>
          <w:sz w:val="24"/>
          <w:szCs w:val="24"/>
        </w:rPr>
        <w:t>“</w:t>
      </w:r>
      <w:r w:rsidR="00B00D14">
        <w:rPr>
          <w:sz w:val="24"/>
          <w:szCs w:val="24"/>
        </w:rPr>
        <w:t>)</w:t>
      </w:r>
      <w:r w:rsidR="00C02598">
        <w:rPr>
          <w:sz w:val="24"/>
          <w:szCs w:val="24"/>
        </w:rPr>
        <w:t xml:space="preserve"> vykazovaniu JCV</w:t>
      </w:r>
      <w:r w:rsidR="00C02598" w:rsidRPr="003C6DEB">
        <w:rPr>
          <w:sz w:val="24"/>
          <w:szCs w:val="24"/>
        </w:rPr>
        <w:t xml:space="preserve"> </w:t>
      </w:r>
      <w:r w:rsidR="00775539" w:rsidRPr="003C6DEB">
        <w:rPr>
          <w:sz w:val="24"/>
          <w:szCs w:val="24"/>
        </w:rPr>
        <w:t>a</w:t>
      </w:r>
      <w:r w:rsidR="00775539">
        <w:rPr>
          <w:sz w:val="24"/>
          <w:szCs w:val="24"/>
        </w:rPr>
        <w:t> tým k zvyšovaniu celkových nákladov</w:t>
      </w:r>
      <w:r w:rsidR="00775539" w:rsidRPr="003C6DEB">
        <w:rPr>
          <w:sz w:val="24"/>
          <w:szCs w:val="24"/>
        </w:rPr>
        <w:t xml:space="preserve"> na JMO ŠAS</w:t>
      </w:r>
      <w:r w:rsidR="00C11E22">
        <w:rPr>
          <w:sz w:val="24"/>
          <w:szCs w:val="24"/>
        </w:rPr>
        <w:t>.</w:t>
      </w:r>
      <w:r w:rsidR="00775539" w:rsidRPr="003C6DEB">
        <w:rPr>
          <w:sz w:val="24"/>
          <w:szCs w:val="24"/>
        </w:rPr>
        <w:t xml:space="preserve"> </w:t>
      </w:r>
    </w:p>
    <w:p w:rsidR="00775539" w:rsidRPr="00775539" w:rsidRDefault="00775539" w:rsidP="00775539">
      <w:pPr>
        <w:pStyle w:val="Odsekzoznamu"/>
        <w:spacing w:line="276" w:lineRule="auto"/>
        <w:jc w:val="both"/>
        <w:rPr>
          <w:sz w:val="24"/>
          <w:szCs w:val="24"/>
          <w:u w:val="single"/>
        </w:rPr>
      </w:pPr>
    </w:p>
    <w:p w:rsidR="00790CFF" w:rsidRPr="00023EB6" w:rsidRDefault="00790CFF" w:rsidP="00C02598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  <w:u w:val="single"/>
        </w:rPr>
      </w:pPr>
      <w:r w:rsidRPr="003C6DEB">
        <w:rPr>
          <w:sz w:val="24"/>
          <w:szCs w:val="24"/>
        </w:rPr>
        <w:t>P</w:t>
      </w:r>
      <w:r>
        <w:rPr>
          <w:sz w:val="24"/>
          <w:szCs w:val="24"/>
        </w:rPr>
        <w:t xml:space="preserve">U sa stanovuje ako </w:t>
      </w:r>
      <w:r w:rsidR="00642BD3">
        <w:rPr>
          <w:sz w:val="24"/>
          <w:szCs w:val="24"/>
        </w:rPr>
        <w:t>pomerná (25</w:t>
      </w:r>
      <w:r>
        <w:rPr>
          <w:sz w:val="24"/>
          <w:szCs w:val="24"/>
        </w:rPr>
        <w:t>%</w:t>
      </w:r>
      <w:r w:rsidR="00950982">
        <w:rPr>
          <w:sz w:val="24"/>
          <w:szCs w:val="24"/>
        </w:rPr>
        <w:t xml:space="preserve"> v návrhu</w:t>
      </w:r>
      <w:r w:rsidR="00642BD3">
        <w:rPr>
          <w:sz w:val="24"/>
          <w:szCs w:val="24"/>
        </w:rPr>
        <w:t>)</w:t>
      </w:r>
      <w:r>
        <w:rPr>
          <w:sz w:val="24"/>
          <w:szCs w:val="24"/>
        </w:rPr>
        <w:t xml:space="preserve"> časť celkových rozpočtovaných výdavkov</w:t>
      </w:r>
      <w:r w:rsidR="0098151F">
        <w:rPr>
          <w:sz w:val="24"/>
          <w:szCs w:val="24"/>
        </w:rPr>
        <w:t xml:space="preserve"> </w:t>
      </w:r>
      <w:r w:rsidR="00255D54">
        <w:rPr>
          <w:sz w:val="24"/>
          <w:szCs w:val="24"/>
        </w:rPr>
        <w:t xml:space="preserve">na </w:t>
      </w:r>
      <w:r w:rsidR="0098151F">
        <w:rPr>
          <w:sz w:val="24"/>
          <w:szCs w:val="24"/>
        </w:rPr>
        <w:t xml:space="preserve">JMO ŠAS a </w:t>
      </w:r>
      <w:r>
        <w:rPr>
          <w:sz w:val="24"/>
          <w:szCs w:val="24"/>
        </w:rPr>
        <w:t>pripočítava sa k rozpočtovaným výdavkom na JCV</w:t>
      </w:r>
      <w:r w:rsidR="0098151F">
        <w:rPr>
          <w:sz w:val="24"/>
          <w:szCs w:val="24"/>
        </w:rPr>
        <w:t>. </w:t>
      </w:r>
      <w:r w:rsidR="00255D54">
        <w:rPr>
          <w:sz w:val="24"/>
          <w:szCs w:val="24"/>
        </w:rPr>
        <w:t xml:space="preserve"> </w:t>
      </w:r>
      <w:r w:rsidR="00B00D14">
        <w:rPr>
          <w:sz w:val="24"/>
          <w:szCs w:val="24"/>
        </w:rPr>
        <w:t xml:space="preserve">Výška celkových rozpočtovaných nákladov </w:t>
      </w:r>
      <w:r w:rsidR="00642BD3">
        <w:rPr>
          <w:sz w:val="24"/>
          <w:szCs w:val="24"/>
        </w:rPr>
        <w:t xml:space="preserve">vrátane PU na </w:t>
      </w:r>
      <w:r w:rsidR="00B00D14">
        <w:rPr>
          <w:sz w:val="24"/>
          <w:szCs w:val="24"/>
        </w:rPr>
        <w:t>jednotlivého PZS sa vypočíta</w:t>
      </w:r>
      <w:r w:rsidR="0098151F">
        <w:rPr>
          <w:sz w:val="24"/>
          <w:szCs w:val="24"/>
        </w:rPr>
        <w:t xml:space="preserve"> </w:t>
      </w:r>
      <w:r w:rsidR="00B00D14">
        <w:rPr>
          <w:sz w:val="24"/>
          <w:szCs w:val="24"/>
        </w:rPr>
        <w:t xml:space="preserve">vydelením </w:t>
      </w:r>
      <w:r w:rsidR="0098151F">
        <w:rPr>
          <w:sz w:val="24"/>
          <w:szCs w:val="24"/>
        </w:rPr>
        <w:t xml:space="preserve">rozpočtovaných </w:t>
      </w:r>
      <w:r w:rsidR="00300F3C">
        <w:rPr>
          <w:sz w:val="24"/>
          <w:szCs w:val="24"/>
        </w:rPr>
        <w:t xml:space="preserve">nákladov </w:t>
      </w:r>
      <w:r w:rsidR="00B00D14">
        <w:rPr>
          <w:sz w:val="24"/>
          <w:szCs w:val="24"/>
        </w:rPr>
        <w:t>na JCV</w:t>
      </w:r>
      <w:r w:rsidR="0098151F">
        <w:rPr>
          <w:sz w:val="24"/>
          <w:szCs w:val="24"/>
        </w:rPr>
        <w:t xml:space="preserve">  </w:t>
      </w:r>
      <w:r w:rsidR="00642BD3">
        <w:rPr>
          <w:sz w:val="24"/>
          <w:szCs w:val="24"/>
        </w:rPr>
        <w:t xml:space="preserve">pomerným </w:t>
      </w:r>
      <w:r w:rsidR="00B00D14">
        <w:rPr>
          <w:sz w:val="24"/>
          <w:szCs w:val="24"/>
        </w:rPr>
        <w:t>podielom</w:t>
      </w:r>
      <w:r w:rsidR="00582615">
        <w:rPr>
          <w:sz w:val="24"/>
          <w:szCs w:val="24"/>
        </w:rPr>
        <w:t xml:space="preserve"> JCV</w:t>
      </w:r>
      <w:r w:rsidR="00B00D14">
        <w:rPr>
          <w:sz w:val="24"/>
          <w:szCs w:val="24"/>
        </w:rPr>
        <w:t xml:space="preserve">, </w:t>
      </w:r>
      <w:r w:rsidR="00255D54">
        <w:rPr>
          <w:sz w:val="24"/>
          <w:szCs w:val="24"/>
        </w:rPr>
        <w:t>ktorý</w:t>
      </w:r>
      <w:r w:rsidR="0098151F">
        <w:rPr>
          <w:sz w:val="24"/>
          <w:szCs w:val="24"/>
        </w:rPr>
        <w:t xml:space="preserve"> JCV</w:t>
      </w:r>
      <w:r w:rsidR="00B00D14">
        <w:rPr>
          <w:sz w:val="24"/>
          <w:szCs w:val="24"/>
        </w:rPr>
        <w:t xml:space="preserve"> </w:t>
      </w:r>
      <w:r w:rsidR="00642BD3">
        <w:rPr>
          <w:sz w:val="24"/>
          <w:szCs w:val="24"/>
        </w:rPr>
        <w:t xml:space="preserve">tvoria </w:t>
      </w:r>
      <w:r w:rsidR="00B00D14">
        <w:rPr>
          <w:sz w:val="24"/>
          <w:szCs w:val="24"/>
        </w:rPr>
        <w:t>na celkových</w:t>
      </w:r>
      <w:r w:rsidR="0098151F">
        <w:rPr>
          <w:sz w:val="24"/>
          <w:szCs w:val="24"/>
        </w:rPr>
        <w:t xml:space="preserve"> </w:t>
      </w:r>
      <w:r w:rsidR="00B00D14">
        <w:rPr>
          <w:sz w:val="24"/>
          <w:szCs w:val="24"/>
        </w:rPr>
        <w:t>nákladoch (75% v návrhu).</w:t>
      </w:r>
      <w:r w:rsidR="0098151F">
        <w:rPr>
          <w:sz w:val="24"/>
          <w:szCs w:val="24"/>
        </w:rPr>
        <w:t xml:space="preserve"> </w:t>
      </w:r>
    </w:p>
    <w:p w:rsidR="00023EB6" w:rsidRPr="00023EB6" w:rsidRDefault="00023EB6" w:rsidP="00023EB6">
      <w:pPr>
        <w:pStyle w:val="Odsekzoznamu"/>
        <w:rPr>
          <w:sz w:val="24"/>
          <w:szCs w:val="24"/>
          <w:u w:val="single"/>
        </w:rPr>
      </w:pPr>
    </w:p>
    <w:p w:rsidR="00023EB6" w:rsidRPr="00C11E22" w:rsidRDefault="00023EB6" w:rsidP="00C02598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11E22">
        <w:rPr>
          <w:sz w:val="24"/>
          <w:szCs w:val="24"/>
        </w:rPr>
        <w:t xml:space="preserve">Fixácia </w:t>
      </w:r>
      <w:r w:rsidR="00C116CC" w:rsidRPr="00C11E22">
        <w:rPr>
          <w:sz w:val="24"/>
          <w:szCs w:val="24"/>
        </w:rPr>
        <w:t xml:space="preserve">PU a JCV na priemernú mzdu ako referenčnú premennú funguje ako kontrola nadhodnocovania JCV pri </w:t>
      </w:r>
      <w:r w:rsidR="00C11E22">
        <w:rPr>
          <w:sz w:val="24"/>
          <w:szCs w:val="24"/>
        </w:rPr>
        <w:t xml:space="preserve">pôsobení </w:t>
      </w:r>
      <w:r w:rsidR="00C116CC" w:rsidRPr="00C11E22">
        <w:rPr>
          <w:sz w:val="24"/>
          <w:szCs w:val="24"/>
        </w:rPr>
        <w:t>tohto ÚHM proti nadmernému vykazovaniu výkonov a zároveň umožňuje uplatniť zákonodarcovi žiaducu mieru regulácie JCV</w:t>
      </w:r>
      <w:r w:rsidR="00C11E22">
        <w:rPr>
          <w:sz w:val="24"/>
          <w:szCs w:val="24"/>
        </w:rPr>
        <w:t>.</w:t>
      </w:r>
      <w:r w:rsidR="00C116CC" w:rsidRPr="00C11E22">
        <w:rPr>
          <w:sz w:val="24"/>
          <w:szCs w:val="24"/>
        </w:rPr>
        <w:t xml:space="preserve">  </w:t>
      </w:r>
    </w:p>
    <w:p w:rsidR="004B6EA5" w:rsidRDefault="004B6EA5" w:rsidP="004B6EA5">
      <w:pPr>
        <w:ind w:left="0" w:right="-290"/>
        <w:rPr>
          <w:sz w:val="24"/>
          <w:szCs w:val="24"/>
        </w:rPr>
      </w:pPr>
    </w:p>
    <w:p w:rsidR="00021742" w:rsidRDefault="00944D2F" w:rsidP="004B6EA5">
      <w:pPr>
        <w:ind w:left="0" w:right="-29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4B6EA5" w:rsidRPr="004B6EA5">
        <w:rPr>
          <w:sz w:val="24"/>
          <w:szCs w:val="24"/>
        </w:rPr>
        <w:t xml:space="preserve">V prílohe: </w:t>
      </w:r>
      <w:r w:rsidR="004B6EA5" w:rsidRPr="004B6EA5">
        <w:rPr>
          <w:rFonts w:ascii="Calibri" w:hAnsi="Calibri"/>
          <w:sz w:val="24"/>
          <w:szCs w:val="24"/>
        </w:rPr>
        <w:t xml:space="preserve">Názor ZVLD SR o.z. v diskusii o novele NV SR 640/2008 z.z (12.12.2019) </w:t>
      </w:r>
    </w:p>
    <w:p w:rsidR="00957565" w:rsidRDefault="00957565" w:rsidP="004B6EA5">
      <w:pPr>
        <w:ind w:left="0" w:right="-290"/>
        <w:rPr>
          <w:rFonts w:ascii="Calibri" w:hAnsi="Calibri"/>
          <w:sz w:val="24"/>
          <w:szCs w:val="24"/>
        </w:rPr>
      </w:pPr>
      <w:r w:rsidRPr="00957565">
        <w:rPr>
          <w:rFonts w:ascii="Calibri" w:hAnsi="Calibri"/>
          <w:sz w:val="24"/>
          <w:szCs w:val="24"/>
        </w:rPr>
        <w:object w:dxaOrig="7216" w:dyaOrig="5407">
          <v:shape id="_x0000_i1026" type="#_x0000_t75" style="width:458.3pt;height:344.1pt" o:ole="">
            <v:imagedata r:id="rId14" o:title=""/>
          </v:shape>
          <o:OLEObject Type="Embed" ProgID="PowerPoint.Slide.12" ShapeID="_x0000_i1026" DrawAspect="Content" ObjectID="_1642054929" r:id="rId15"/>
        </w:object>
      </w:r>
    </w:p>
    <w:p w:rsidR="00957565" w:rsidRPr="00BB417D" w:rsidRDefault="00957565" w:rsidP="004B6EA5">
      <w:pPr>
        <w:ind w:left="0" w:right="-290"/>
        <w:rPr>
          <w:sz w:val="24"/>
          <w:szCs w:val="24"/>
        </w:rPr>
      </w:pPr>
      <w:r w:rsidRPr="00957565">
        <w:rPr>
          <w:sz w:val="24"/>
          <w:szCs w:val="24"/>
        </w:rPr>
        <w:object w:dxaOrig="7216" w:dyaOrig="5407">
          <v:shape id="_x0000_i1027" type="#_x0000_t75" style="width:462.45pt;height:346.85pt" o:ole="">
            <v:imagedata r:id="rId16" o:title=""/>
          </v:shape>
          <o:OLEObject Type="Embed" ProgID="PowerPoint.Slide.12" ShapeID="_x0000_i1027" DrawAspect="Content" ObjectID="_1642054930" r:id="rId17"/>
        </w:object>
      </w:r>
    </w:p>
    <w:sectPr w:rsidR="00957565" w:rsidRPr="00BB417D" w:rsidSect="00056E6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782A"/>
    <w:multiLevelType w:val="hybridMultilevel"/>
    <w:tmpl w:val="9292557C"/>
    <w:lvl w:ilvl="0" w:tplc="FDAE8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4DD4"/>
    <w:multiLevelType w:val="hybridMultilevel"/>
    <w:tmpl w:val="0EB6A2C0"/>
    <w:lvl w:ilvl="0" w:tplc="31A2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4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C3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C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A5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C4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readOnly" w:enforcement="1" w:cryptProviderType="rsaFull" w:cryptAlgorithmClass="hash" w:cryptAlgorithmType="typeAny" w:cryptAlgorithmSid="4" w:cryptSpinCount="50000" w:hash="iaPtOVnWeek9EAXDMYXgryr0iiw=" w:salt="pxWhMa8QJle0vqEvRaZFfQ=="/>
  <w:defaultTabStop w:val="708"/>
  <w:hyphenationZone w:val="425"/>
  <w:characterSpacingControl w:val="doNotCompress"/>
  <w:savePreviewPicture/>
  <w:compat/>
  <w:rsids>
    <w:rsidRoot w:val="008A6B83"/>
    <w:rsid w:val="00021638"/>
    <w:rsid w:val="00021742"/>
    <w:rsid w:val="00023EB6"/>
    <w:rsid w:val="00056E6B"/>
    <w:rsid w:val="00056F3C"/>
    <w:rsid w:val="00077D05"/>
    <w:rsid w:val="000831A3"/>
    <w:rsid w:val="000914C9"/>
    <w:rsid w:val="000B6BC8"/>
    <w:rsid w:val="000D31A0"/>
    <w:rsid w:val="00113D36"/>
    <w:rsid w:val="00147ABC"/>
    <w:rsid w:val="001531BE"/>
    <w:rsid w:val="001A1221"/>
    <w:rsid w:val="001A125D"/>
    <w:rsid w:val="001A34C5"/>
    <w:rsid w:val="001B6F33"/>
    <w:rsid w:val="001D7271"/>
    <w:rsid w:val="002176CE"/>
    <w:rsid w:val="00233B84"/>
    <w:rsid w:val="00255D54"/>
    <w:rsid w:val="00256F39"/>
    <w:rsid w:val="00266383"/>
    <w:rsid w:val="002967FB"/>
    <w:rsid w:val="002C0B9B"/>
    <w:rsid w:val="00300F3C"/>
    <w:rsid w:val="00311130"/>
    <w:rsid w:val="003611A9"/>
    <w:rsid w:val="00363942"/>
    <w:rsid w:val="003C6DEB"/>
    <w:rsid w:val="003D7208"/>
    <w:rsid w:val="003D7844"/>
    <w:rsid w:val="003E35B1"/>
    <w:rsid w:val="00472F4C"/>
    <w:rsid w:val="004940CE"/>
    <w:rsid w:val="004B6EA5"/>
    <w:rsid w:val="004B74A5"/>
    <w:rsid w:val="004E2563"/>
    <w:rsid w:val="004E398E"/>
    <w:rsid w:val="004E68A3"/>
    <w:rsid w:val="0051091B"/>
    <w:rsid w:val="00523DED"/>
    <w:rsid w:val="0052446A"/>
    <w:rsid w:val="00531F2D"/>
    <w:rsid w:val="00550577"/>
    <w:rsid w:val="00557859"/>
    <w:rsid w:val="005610AF"/>
    <w:rsid w:val="005753FC"/>
    <w:rsid w:val="00582615"/>
    <w:rsid w:val="005D03C9"/>
    <w:rsid w:val="00640A21"/>
    <w:rsid w:val="00642BD3"/>
    <w:rsid w:val="006B050D"/>
    <w:rsid w:val="006B6226"/>
    <w:rsid w:val="006D58E3"/>
    <w:rsid w:val="00703413"/>
    <w:rsid w:val="007500CA"/>
    <w:rsid w:val="00775539"/>
    <w:rsid w:val="00781ED4"/>
    <w:rsid w:val="0078296D"/>
    <w:rsid w:val="00784F93"/>
    <w:rsid w:val="00790CFF"/>
    <w:rsid w:val="007D30BB"/>
    <w:rsid w:val="00824FFC"/>
    <w:rsid w:val="00842A07"/>
    <w:rsid w:val="00890807"/>
    <w:rsid w:val="008A6B83"/>
    <w:rsid w:val="008B6C93"/>
    <w:rsid w:val="008B7A90"/>
    <w:rsid w:val="008E3E06"/>
    <w:rsid w:val="00944D2F"/>
    <w:rsid w:val="00950982"/>
    <w:rsid w:val="00956A47"/>
    <w:rsid w:val="00957565"/>
    <w:rsid w:val="0098151F"/>
    <w:rsid w:val="009D4686"/>
    <w:rsid w:val="00A15AF3"/>
    <w:rsid w:val="00AE2A40"/>
    <w:rsid w:val="00B00D14"/>
    <w:rsid w:val="00B04000"/>
    <w:rsid w:val="00B05DD0"/>
    <w:rsid w:val="00B16E0B"/>
    <w:rsid w:val="00B8034C"/>
    <w:rsid w:val="00BB417D"/>
    <w:rsid w:val="00C02598"/>
    <w:rsid w:val="00C116CC"/>
    <w:rsid w:val="00C11E22"/>
    <w:rsid w:val="00C12958"/>
    <w:rsid w:val="00C33FE9"/>
    <w:rsid w:val="00C7407E"/>
    <w:rsid w:val="00CF7733"/>
    <w:rsid w:val="00D2302C"/>
    <w:rsid w:val="00D26A51"/>
    <w:rsid w:val="00D56268"/>
    <w:rsid w:val="00D84C06"/>
    <w:rsid w:val="00DC3301"/>
    <w:rsid w:val="00DE2D75"/>
    <w:rsid w:val="00E33013"/>
    <w:rsid w:val="00E435FB"/>
    <w:rsid w:val="00E9223A"/>
    <w:rsid w:val="00E97AA2"/>
    <w:rsid w:val="00EC4445"/>
    <w:rsid w:val="00ED6060"/>
    <w:rsid w:val="00EE5501"/>
    <w:rsid w:val="00F26975"/>
    <w:rsid w:val="00F457FB"/>
    <w:rsid w:val="00FB1600"/>
    <w:rsid w:val="00FD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50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A6B83"/>
    <w:pPr>
      <w:autoSpaceDE w:val="0"/>
      <w:autoSpaceDN w:val="0"/>
      <w:adjustRightInd w:val="0"/>
      <w:spacing w:after="0"/>
      <w:ind w:left="0" w:right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D30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5DD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0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package" Target="embeddings/Sn_mka_programu_Microsoft_Office_PowerPoint2.sl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package" Target="embeddings/Sn_mka_programu_Microsoft_Office_PowerPoint4.sldx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package" Target="embeddings/Sn_mka_programu_Microsoft_Office_PowerPoint3.sldx"/><Relationship Id="rId10" Type="http://schemas.openxmlformats.org/officeDocument/2006/relationships/package" Target="embeddings/Sn_mka_programu_Microsoft_Office_PowerPoint1.sld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C4B5-EDA3-42D0-AA7F-4D4D496D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3813</TotalTime>
  <Pages>8</Pages>
  <Words>2090</Words>
  <Characters>11919</Characters>
  <Application>Microsoft Office Word</Application>
  <DocSecurity>8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40</cp:revision>
  <dcterms:created xsi:type="dcterms:W3CDTF">2020-01-02T07:54:00Z</dcterms:created>
  <dcterms:modified xsi:type="dcterms:W3CDTF">2020-02-01T08:36:00Z</dcterms:modified>
</cp:coreProperties>
</file>