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4F7" w:rsidRDefault="008D54F7" w:rsidP="00745F5E">
      <w:pPr>
        <w:ind w:right="-290"/>
        <w:jc w:val="center"/>
        <w:rPr>
          <w:rFonts w:ascii="Calibri" w:hAnsi="Calibri"/>
          <w:b/>
          <w:sz w:val="22"/>
          <w:szCs w:val="22"/>
          <w:lang w:val="sk-SK"/>
        </w:rPr>
      </w:pPr>
      <w:r>
        <w:rPr>
          <w:rFonts w:ascii="Calibri" w:hAnsi="Calibri"/>
          <w:b/>
          <w:sz w:val="22"/>
          <w:szCs w:val="22"/>
          <w:lang w:val="sk-SK"/>
        </w:rPr>
        <w:t>N</w:t>
      </w:r>
      <w:r w:rsidR="00745F5E" w:rsidRPr="00745F5E">
        <w:rPr>
          <w:rFonts w:ascii="Calibri" w:hAnsi="Calibri"/>
          <w:b/>
          <w:sz w:val="22"/>
          <w:szCs w:val="22"/>
          <w:lang w:val="sk-SK"/>
        </w:rPr>
        <w:t xml:space="preserve">ázor ZVLDSR o.z. v diskusii o novele NV SR 640/2008 z.z </w:t>
      </w:r>
    </w:p>
    <w:p w:rsidR="00745F5E" w:rsidRPr="00745F5E" w:rsidRDefault="00745F5E" w:rsidP="00745F5E">
      <w:pPr>
        <w:ind w:right="-290"/>
        <w:jc w:val="center"/>
        <w:rPr>
          <w:rFonts w:ascii="Calibri" w:hAnsi="Calibri"/>
          <w:b/>
          <w:sz w:val="22"/>
          <w:szCs w:val="22"/>
          <w:lang w:val="sk-SK"/>
        </w:rPr>
      </w:pPr>
      <w:r w:rsidRPr="00745F5E">
        <w:rPr>
          <w:rFonts w:ascii="Calibri" w:hAnsi="Calibri"/>
          <w:b/>
          <w:sz w:val="22"/>
          <w:szCs w:val="22"/>
          <w:lang w:val="sk-SK"/>
        </w:rPr>
        <w:t>o verejnej minimálnej sieti poskytovateľov zdravotnej starostlivosti</w:t>
      </w:r>
    </w:p>
    <w:p w:rsidR="00745F5E" w:rsidRPr="00745F5E" w:rsidRDefault="00745F5E" w:rsidP="00745F5E">
      <w:pPr>
        <w:ind w:right="-290"/>
        <w:jc w:val="center"/>
        <w:rPr>
          <w:rFonts w:ascii="Calibri" w:hAnsi="Calibri"/>
          <w:b/>
          <w:sz w:val="22"/>
          <w:szCs w:val="22"/>
          <w:lang w:val="sk-SK"/>
        </w:rPr>
      </w:pPr>
    </w:p>
    <w:p w:rsidR="00745F5E" w:rsidRPr="00745F5E" w:rsidRDefault="00745F5E" w:rsidP="00745F5E">
      <w:pPr>
        <w:spacing w:line="276" w:lineRule="auto"/>
        <w:ind w:right="-290"/>
        <w:rPr>
          <w:rFonts w:ascii="Calibri" w:hAnsi="Calibri"/>
          <w:sz w:val="22"/>
          <w:szCs w:val="22"/>
          <w:lang w:val="sk-SK"/>
        </w:rPr>
      </w:pPr>
    </w:p>
    <w:p w:rsidR="00745F5E" w:rsidRPr="00745F5E" w:rsidRDefault="00745F5E" w:rsidP="00745F5E">
      <w:pPr>
        <w:spacing w:line="276" w:lineRule="auto"/>
        <w:ind w:right="-290"/>
        <w:rPr>
          <w:rFonts w:ascii="Calibri" w:hAnsi="Calibri"/>
          <w:sz w:val="22"/>
          <w:szCs w:val="22"/>
          <w:lang w:val="sk-SK"/>
        </w:rPr>
      </w:pPr>
      <w:r w:rsidRPr="00745F5E">
        <w:rPr>
          <w:rFonts w:ascii="Calibri" w:hAnsi="Calibri"/>
          <w:sz w:val="22"/>
          <w:szCs w:val="22"/>
          <w:lang w:val="sk-SK"/>
        </w:rPr>
        <w:t>Ako vyplýva z charakteru a účelu predmetného nariadenia, má ísť o zabezpečenie dostupnosti  a plynulosti zdravotnej starostlivosti všeobecne záväzným  právnym predpisom z hľadiska časovej a miestnej dostupnosti jednotlivých zdravotníckych zariadení ambulantnej a ústavnej starostlivosti so zohľadnením ich medicínskeho zamerania a medicínskych kompetencií v komplexe národnej sústavy poskytovateľov zdravotnej starostlivosti (ZS).</w:t>
      </w:r>
    </w:p>
    <w:p w:rsidR="00745F5E" w:rsidRPr="00745F5E" w:rsidRDefault="00745F5E" w:rsidP="00745F5E">
      <w:pPr>
        <w:spacing w:line="276" w:lineRule="auto"/>
        <w:ind w:right="-290"/>
        <w:rPr>
          <w:rFonts w:ascii="Calibri" w:hAnsi="Calibri"/>
          <w:b/>
          <w:sz w:val="22"/>
          <w:szCs w:val="22"/>
          <w:lang w:val="sk-SK"/>
        </w:rPr>
      </w:pPr>
    </w:p>
    <w:p w:rsidR="00745F5E" w:rsidRPr="00745F5E" w:rsidRDefault="00745F5E" w:rsidP="00745F5E">
      <w:pPr>
        <w:spacing w:line="276" w:lineRule="auto"/>
        <w:ind w:right="-290"/>
        <w:rPr>
          <w:rFonts w:ascii="Calibri" w:hAnsi="Calibri"/>
          <w:sz w:val="22"/>
          <w:szCs w:val="22"/>
          <w:lang w:val="sk-SK"/>
        </w:rPr>
      </w:pPr>
      <w:r w:rsidRPr="00745F5E">
        <w:rPr>
          <w:rFonts w:ascii="Calibri" w:hAnsi="Calibri"/>
          <w:b/>
          <w:sz w:val="22"/>
          <w:szCs w:val="22"/>
          <w:lang w:val="sk-SK"/>
        </w:rPr>
        <w:t>1. Funkčnú sústavu zdravotníckych zariadení</w:t>
      </w:r>
      <w:r w:rsidRPr="00745F5E">
        <w:rPr>
          <w:rFonts w:ascii="Calibri" w:hAnsi="Calibri"/>
          <w:sz w:val="22"/>
          <w:szCs w:val="22"/>
          <w:lang w:val="sk-SK"/>
        </w:rPr>
        <w:t xml:space="preserve"> je potrebné vnímať predovšetkým z hľadiska ich kompetenčného prepojenia, zodpovednosti a deľby poskytovanej ZS (ambulantné výkony, „lôžkodni“, DRG, koncové ústavné zariadenia), a to v závislosti na ich medicínskej špecializácii a charaktere poskytovanej ZS (neodkladná / dlhodobá / preventívna /iná, ďalej dispenzárna ambulantná starostlivosť, resp. stratifikácia nemocníc).</w:t>
      </w:r>
    </w:p>
    <w:p w:rsidR="00745F5E" w:rsidRPr="00745F5E" w:rsidRDefault="00745F5E" w:rsidP="00745F5E">
      <w:pPr>
        <w:spacing w:line="276" w:lineRule="auto"/>
        <w:ind w:right="-290"/>
        <w:contextualSpacing/>
        <w:rPr>
          <w:rFonts w:ascii="Calibri" w:hAnsi="Calibri"/>
          <w:b/>
          <w:sz w:val="22"/>
          <w:szCs w:val="22"/>
          <w:lang w:val="sk-SK"/>
        </w:rPr>
      </w:pP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b/>
          <w:sz w:val="22"/>
          <w:szCs w:val="22"/>
          <w:lang w:val="sk-SK"/>
        </w:rPr>
        <w:t>2. Z hľadiska reálnej kapacity poskytnutia požadovanej ZS</w:t>
      </w:r>
      <w:r w:rsidRPr="00745F5E">
        <w:rPr>
          <w:rFonts w:ascii="Calibri" w:hAnsi="Calibri"/>
          <w:sz w:val="22"/>
          <w:szCs w:val="22"/>
          <w:lang w:val="sk-SK"/>
        </w:rPr>
        <w:t xml:space="preserve"> pri štruktúrovaní sústavy zdravotníckych zariadení v zákone je súčasne nevyhnutné zohľadniť predpokladaný objem požadovanej ZS odvodený od historických dát vykazovania ZS v predošlom (zúčtovacom) období podľa:</w:t>
      </w: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sz w:val="22"/>
          <w:szCs w:val="22"/>
          <w:lang w:val="sk-SK"/>
        </w:rPr>
        <w:t>2.1. typu ZS (ambulantná / ústavná / iná starostlivosť)</w:t>
      </w: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sz w:val="22"/>
          <w:szCs w:val="22"/>
          <w:lang w:val="sk-SK"/>
        </w:rPr>
        <w:t>2.2. zamerania ZS (VLD, VLDD, ŠAS, GYN, iné/ostatné)</w:t>
      </w:r>
    </w:p>
    <w:p w:rsidR="00745F5E" w:rsidRPr="00745F5E" w:rsidRDefault="00745F5E" w:rsidP="00745F5E">
      <w:pPr>
        <w:spacing w:line="276" w:lineRule="auto"/>
        <w:ind w:right="-290"/>
        <w:contextualSpacing/>
        <w:rPr>
          <w:rFonts w:ascii="Calibri" w:hAnsi="Calibri"/>
          <w:sz w:val="22"/>
          <w:szCs w:val="22"/>
          <w:lang w:val="sk-SK"/>
        </w:rPr>
      </w:pP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b/>
          <w:sz w:val="22"/>
          <w:szCs w:val="22"/>
          <w:lang w:val="sk-SK"/>
        </w:rPr>
        <w:t>3. Plánovaná štruktúra sústavy zdravotníckych zariadení</w:t>
      </w:r>
      <w:r w:rsidRPr="00745F5E">
        <w:rPr>
          <w:rFonts w:ascii="Calibri" w:hAnsi="Calibri"/>
          <w:sz w:val="22"/>
          <w:szCs w:val="22"/>
          <w:lang w:val="sk-SK"/>
        </w:rPr>
        <w:t xml:space="preserve"> musí byť zabezpečená z hľadiska pokrytia prognózovaného dopytu po poskytnutí ZS zodpovedajúcim objemom finančných prostriedkov s určením prerozdeľovacieho mechanizmu z hľadiska:</w:t>
      </w: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sz w:val="22"/>
          <w:szCs w:val="22"/>
          <w:lang w:val="sk-SK"/>
        </w:rPr>
        <w:t>3.1. štruktúry podľa typu a zamerania zdravotníckych zariadení (viz. bod. 2.1, 2.2)</w:t>
      </w: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sz w:val="22"/>
          <w:szCs w:val="22"/>
          <w:lang w:val="sk-SK"/>
        </w:rPr>
        <w:t>3.2. štruktúry objemu poskytovanej ZS (o i. výkony v ambulanciách, resp. „lôžkodni“ v nemocniciach)</w:t>
      </w:r>
    </w:p>
    <w:p w:rsidR="00745F5E" w:rsidRPr="00745F5E" w:rsidRDefault="00745F5E" w:rsidP="00745F5E">
      <w:pPr>
        <w:spacing w:line="276" w:lineRule="auto"/>
        <w:ind w:right="-290"/>
        <w:contextualSpacing/>
        <w:rPr>
          <w:rFonts w:ascii="Calibri" w:hAnsi="Calibri"/>
          <w:sz w:val="22"/>
          <w:szCs w:val="22"/>
          <w:lang w:val="sk-SK"/>
        </w:rPr>
      </w:pP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sz w:val="22"/>
          <w:szCs w:val="22"/>
          <w:lang w:val="sk-SK"/>
        </w:rPr>
        <w:t>- v prílohe typy financovania ZS</w:t>
      </w:r>
    </w:p>
    <w:p w:rsidR="00745F5E" w:rsidRPr="00745F5E" w:rsidRDefault="00745F5E" w:rsidP="00745F5E">
      <w:pPr>
        <w:spacing w:line="276" w:lineRule="auto"/>
        <w:ind w:right="-290"/>
        <w:contextualSpacing/>
        <w:rPr>
          <w:rFonts w:ascii="Calibri" w:hAnsi="Calibri"/>
          <w:sz w:val="22"/>
          <w:szCs w:val="22"/>
          <w:lang w:val="sk-SK"/>
        </w:rPr>
      </w:pP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b/>
          <w:sz w:val="22"/>
          <w:szCs w:val="22"/>
          <w:lang w:val="sk-SK"/>
        </w:rPr>
        <w:t>4. Z hľadiska určenia nákladov na jednotkový objem ZS</w:t>
      </w:r>
      <w:r w:rsidRPr="00745F5E">
        <w:rPr>
          <w:rFonts w:ascii="Calibri" w:hAnsi="Calibri"/>
          <w:sz w:val="22"/>
          <w:szCs w:val="22"/>
          <w:lang w:val="sk-SK"/>
        </w:rPr>
        <w:t xml:space="preserve"> je potrebné zohľadniť:</w:t>
      </w: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sz w:val="22"/>
          <w:szCs w:val="22"/>
          <w:lang w:val="sk-SK"/>
        </w:rPr>
        <w:t>4.1. náklady na ľudskú prácu (kvalifikácia lekára, sestry, kvalifikácia tímu zdravotníckych pracovníkov, postgraduálne vzdelávanie a generačná  obnova zdravotníckych pracovníkov )</w:t>
      </w: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sz w:val="22"/>
          <w:szCs w:val="22"/>
          <w:lang w:val="sk-SK"/>
        </w:rPr>
        <w:t>4.2. náklady na aplikované medicínske technológie pri diagnostike a liečbe (investície do inovácií, amortizácia)</w:t>
      </w: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sz w:val="22"/>
          <w:szCs w:val="22"/>
          <w:lang w:val="sk-SK"/>
        </w:rPr>
        <w:t>4.3. bio-psycho-sociálny aspekt v starostlivosti o pacienta (čas výkonu ako interpersonálna interakcia lekár – pacient a technická/medicínska realizácia výkonu, pracovný čas, nadčasy, nárok na dovolenku  zdravotníckych pracovníkov, vrátane materskej dovolenky u žien)</w:t>
      </w:r>
    </w:p>
    <w:p w:rsidR="00745F5E" w:rsidRPr="00745F5E" w:rsidRDefault="00745F5E" w:rsidP="00745F5E">
      <w:pPr>
        <w:spacing w:line="276" w:lineRule="auto"/>
        <w:ind w:right="-290"/>
        <w:contextualSpacing/>
        <w:rPr>
          <w:rFonts w:ascii="Calibri" w:hAnsi="Calibri"/>
          <w:sz w:val="22"/>
          <w:szCs w:val="22"/>
          <w:lang w:val="sk-SK"/>
        </w:rPr>
      </w:pP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sz w:val="22"/>
          <w:szCs w:val="22"/>
          <w:lang w:val="sk-SK"/>
        </w:rPr>
        <w:t>- v prílohe schéma  zdravotného výkonu</w:t>
      </w:r>
      <w:r w:rsidR="00272AB0">
        <w:rPr>
          <w:rFonts w:ascii="Calibri" w:hAnsi="Calibri"/>
          <w:sz w:val="22"/>
          <w:szCs w:val="22"/>
          <w:lang w:val="sk-SK"/>
        </w:rPr>
        <w:t xml:space="preserve"> (aplikovaná technológia, kvalifikovaná práca, bio-psycho-sociálny aspekt)</w:t>
      </w:r>
    </w:p>
    <w:p w:rsidR="00745F5E" w:rsidRPr="00745F5E" w:rsidRDefault="00745F5E" w:rsidP="00745F5E">
      <w:pPr>
        <w:spacing w:line="276" w:lineRule="auto"/>
        <w:ind w:right="-290"/>
        <w:contextualSpacing/>
        <w:rPr>
          <w:rFonts w:ascii="Calibri" w:hAnsi="Calibri"/>
          <w:sz w:val="22"/>
          <w:szCs w:val="22"/>
          <w:lang w:val="sk-SK"/>
        </w:rPr>
      </w:pP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b/>
          <w:sz w:val="22"/>
          <w:szCs w:val="22"/>
          <w:lang w:val="sk-SK"/>
        </w:rPr>
        <w:t xml:space="preserve">5. Z hľadiska celkového objemu poskytnutej ZS </w:t>
      </w:r>
      <w:r w:rsidRPr="00745F5E">
        <w:rPr>
          <w:rFonts w:ascii="Calibri" w:hAnsi="Calibri"/>
          <w:sz w:val="22"/>
          <w:szCs w:val="22"/>
          <w:lang w:val="sk-SK"/>
        </w:rPr>
        <w:t xml:space="preserve"> je potrebné nákladovo zohľadniť počet očakávaných (podľa v predošlom období realizovaných) objemových jednotiek  ZS (bod.4) a plánovanú kapacitu podľa typu a zamerania zdravotníckych zariadení (bod. 2.1, 2.2). </w:t>
      </w:r>
    </w:p>
    <w:p w:rsidR="00745F5E" w:rsidRPr="00745F5E" w:rsidRDefault="00745F5E" w:rsidP="00745F5E">
      <w:pPr>
        <w:spacing w:line="276" w:lineRule="auto"/>
        <w:ind w:right="-290"/>
        <w:contextualSpacing/>
        <w:rPr>
          <w:rFonts w:ascii="Calibri" w:hAnsi="Calibri"/>
          <w:sz w:val="22"/>
          <w:szCs w:val="22"/>
          <w:lang w:val="sk-SK"/>
        </w:rPr>
      </w:pP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sz w:val="22"/>
          <w:szCs w:val="22"/>
          <w:lang w:val="sk-SK"/>
        </w:rPr>
        <w:lastRenderedPageBreak/>
        <w:t>Pritom:</w:t>
      </w: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sz w:val="22"/>
          <w:szCs w:val="22"/>
          <w:lang w:val="sk-SK"/>
        </w:rPr>
        <w:t xml:space="preserve">5.1. časový priestor na realizáciu očakávaných objemových jednotiek ZS je pevne stanovený pracovným časom podľa Zákonníka práce (s možnosťou nákladového zohľadnenia v prípade nepretržitej prevádzky). </w:t>
      </w:r>
      <w:r w:rsidRPr="00745F5E">
        <w:rPr>
          <w:rFonts w:ascii="Calibri" w:hAnsi="Calibri"/>
          <w:b/>
          <w:sz w:val="22"/>
          <w:szCs w:val="22"/>
          <w:lang w:val="sk-SK"/>
        </w:rPr>
        <w:t>5.2. časový priestor je možné rozšíriť výlučne úpravou pomeru očakávaného objemu poskytnutej ZS a počtu príslušných zariadení ZS podľa typu a zamerania zvýšením ich počtu</w:t>
      </w:r>
      <w:r w:rsidRPr="00745F5E">
        <w:rPr>
          <w:rFonts w:ascii="Calibri" w:hAnsi="Calibri"/>
          <w:sz w:val="22"/>
          <w:szCs w:val="22"/>
          <w:lang w:val="sk-SK"/>
        </w:rPr>
        <w:t xml:space="preserve"> v prípade, že</w:t>
      </w:r>
      <w:r w:rsidR="00A63F69">
        <w:rPr>
          <w:rFonts w:ascii="Calibri" w:hAnsi="Calibri"/>
          <w:sz w:val="22"/>
          <w:szCs w:val="22"/>
          <w:lang w:val="sk-SK"/>
        </w:rPr>
        <w:t xml:space="preserve"> východiskový</w:t>
      </w:r>
      <w:r w:rsidRPr="00745F5E">
        <w:rPr>
          <w:rFonts w:ascii="Calibri" w:hAnsi="Calibri"/>
          <w:sz w:val="22"/>
          <w:szCs w:val="22"/>
          <w:lang w:val="sk-SK"/>
        </w:rPr>
        <w:t xml:space="preserve"> časový priestor na realizáciu požadovaného objemu ZS pri existujúcom počte zariadení nepostačuje.</w:t>
      </w: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sz w:val="22"/>
          <w:szCs w:val="22"/>
          <w:lang w:val="sk-SK"/>
        </w:rPr>
        <w:t xml:space="preserve">5.3. kľúčovou premennou pri zvyšovaní kapacít zdravotníckych zariadení je ich personálne a materiálne vybavenie (dnes aktuálny problém generačnej obnovy v slovenskom zdravotníctve) </w:t>
      </w:r>
    </w:p>
    <w:p w:rsidR="00745F5E" w:rsidRPr="00745F5E" w:rsidRDefault="00745F5E" w:rsidP="00745F5E">
      <w:pPr>
        <w:spacing w:line="276" w:lineRule="auto"/>
        <w:ind w:right="-290"/>
        <w:contextualSpacing/>
        <w:rPr>
          <w:rFonts w:ascii="Calibri" w:hAnsi="Calibri"/>
          <w:sz w:val="22"/>
          <w:szCs w:val="22"/>
          <w:lang w:val="sk-SK"/>
        </w:rPr>
      </w:pPr>
    </w:p>
    <w:p w:rsidR="00745F5E" w:rsidRPr="00745F5E" w:rsidRDefault="00745F5E" w:rsidP="00745F5E">
      <w:pPr>
        <w:spacing w:line="276" w:lineRule="auto"/>
        <w:ind w:right="-290"/>
        <w:contextualSpacing/>
        <w:rPr>
          <w:rFonts w:ascii="Calibri" w:hAnsi="Calibri"/>
          <w:b/>
          <w:sz w:val="22"/>
          <w:szCs w:val="22"/>
          <w:lang w:val="sk-SK"/>
        </w:rPr>
      </w:pPr>
      <w:r w:rsidRPr="00745F5E">
        <w:rPr>
          <w:rFonts w:ascii="Calibri" w:hAnsi="Calibri"/>
          <w:b/>
          <w:sz w:val="22"/>
          <w:szCs w:val="22"/>
          <w:lang w:val="sk-SK"/>
        </w:rPr>
        <w:t>6. ZÁVER:</w:t>
      </w: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sz w:val="22"/>
          <w:szCs w:val="22"/>
          <w:lang w:val="sk-SK"/>
        </w:rPr>
        <w:t xml:space="preserve">6.1. Verejnú minimálnu sieť  nie je možné koncipovať oddelene od koncepcie všeobecne záväznej právnej normy na minimálne financovanie minimálnej siete z prostriedkov verejného zdravotného poistenia (prípadne v súbehu s financovaním zo štátneho rozpočtu a iných verejných zdrojov)  </w:t>
      </w:r>
    </w:p>
    <w:p w:rsidR="00745F5E" w:rsidRPr="00745F5E" w:rsidRDefault="00745F5E" w:rsidP="00745F5E">
      <w:pPr>
        <w:spacing w:line="276" w:lineRule="auto"/>
        <w:ind w:right="-290"/>
        <w:contextualSpacing/>
        <w:rPr>
          <w:rFonts w:ascii="Calibri" w:hAnsi="Calibri"/>
          <w:sz w:val="22"/>
          <w:szCs w:val="22"/>
          <w:lang w:val="sk-SK"/>
        </w:rPr>
      </w:pP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sz w:val="22"/>
          <w:szCs w:val="22"/>
          <w:lang w:val="sk-SK"/>
        </w:rPr>
        <w:t>6.2. Verejnú minimálnu sieť  nie je možné koncipovať oddelene od pripravovaného nového katalógu výkonov (dnes</w:t>
      </w:r>
      <w:r w:rsidR="00272AB0">
        <w:rPr>
          <w:rFonts w:ascii="Calibri" w:hAnsi="Calibri"/>
          <w:sz w:val="22"/>
          <w:szCs w:val="22"/>
          <w:lang w:val="sk-SK"/>
        </w:rPr>
        <w:t xml:space="preserve"> Nariadenie</w:t>
      </w:r>
      <w:r w:rsidRPr="00745F5E">
        <w:rPr>
          <w:rFonts w:ascii="Calibri" w:hAnsi="Calibri"/>
          <w:sz w:val="22"/>
          <w:szCs w:val="22"/>
          <w:lang w:val="sk-SK"/>
        </w:rPr>
        <w:t xml:space="preserve"> vlády 776/2004)</w:t>
      </w:r>
    </w:p>
    <w:p w:rsidR="00745F5E" w:rsidRPr="00745F5E" w:rsidRDefault="00745F5E" w:rsidP="00745F5E">
      <w:pPr>
        <w:spacing w:line="276" w:lineRule="auto"/>
        <w:ind w:right="-290"/>
        <w:contextualSpacing/>
        <w:rPr>
          <w:rFonts w:ascii="Calibri" w:hAnsi="Calibri"/>
          <w:sz w:val="22"/>
          <w:szCs w:val="22"/>
          <w:lang w:val="sk-SK"/>
        </w:rPr>
      </w:pP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sz w:val="22"/>
          <w:szCs w:val="22"/>
          <w:lang w:val="sk-SK"/>
        </w:rPr>
        <w:t>6.3. Verejnú minimálnu sieť  nie je možné koncipovať oddelene od podzákonných noriem o dispenzárnej starostlivosti (dnes Vyhláška MZ SR 127/2014)</w:t>
      </w:r>
    </w:p>
    <w:p w:rsidR="00745F5E" w:rsidRPr="00745F5E" w:rsidRDefault="00745F5E" w:rsidP="00745F5E">
      <w:pPr>
        <w:spacing w:line="276" w:lineRule="auto"/>
        <w:ind w:right="-290"/>
        <w:contextualSpacing/>
        <w:rPr>
          <w:rFonts w:ascii="Calibri" w:hAnsi="Calibri"/>
          <w:sz w:val="22"/>
          <w:szCs w:val="22"/>
          <w:lang w:val="sk-SK"/>
        </w:rPr>
      </w:pP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sz w:val="22"/>
          <w:szCs w:val="22"/>
          <w:lang w:val="sk-SK"/>
        </w:rPr>
        <w:t>6.4. Problémy v odbornej diskusii možno očakávať najmä v súvislosti:</w:t>
      </w: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sz w:val="22"/>
          <w:szCs w:val="22"/>
          <w:lang w:val="sk-SK"/>
        </w:rPr>
        <w:t>6.4.1. s prekážkami na konsolidáciu názorovej jednoty v prostredí vzájomnej konkurencie medzi  subjektmi reprezentujúcimi lekárov n</w:t>
      </w:r>
      <w:r w:rsidR="008D54F7">
        <w:rPr>
          <w:rFonts w:ascii="Calibri" w:hAnsi="Calibri"/>
          <w:sz w:val="22"/>
          <w:szCs w:val="22"/>
          <w:lang w:val="sk-SK"/>
        </w:rPr>
        <w:t>a Slovensku</w:t>
      </w: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sz w:val="22"/>
          <w:szCs w:val="22"/>
          <w:lang w:val="sk-SK"/>
        </w:rPr>
        <w:t xml:space="preserve">6.4.2. s chýbajúcim zmyslom pre pragmatickú dohodu medzi súkromnými ambulantnými poskytovateľmi o rozdelení celkového objemu finančných prostriedkov medzi  jednotlivé odbornosti (v zmysle bodov 2. a 4.), pričom celkový objem pre danú špecializáciu by bol </w:t>
      </w:r>
      <w:r w:rsidR="00A63F69">
        <w:rPr>
          <w:rFonts w:ascii="Calibri" w:hAnsi="Calibri"/>
          <w:sz w:val="22"/>
          <w:szCs w:val="22"/>
          <w:lang w:val="sk-SK"/>
        </w:rPr>
        <w:t xml:space="preserve">rámcovo </w:t>
      </w:r>
      <w:r w:rsidRPr="00745F5E">
        <w:rPr>
          <w:rFonts w:ascii="Calibri" w:hAnsi="Calibri"/>
          <w:sz w:val="22"/>
          <w:szCs w:val="22"/>
          <w:lang w:val="sk-SK"/>
        </w:rPr>
        <w:t xml:space="preserve">násobkom </w:t>
      </w:r>
      <w:r w:rsidR="00A63F69">
        <w:rPr>
          <w:rFonts w:ascii="Calibri" w:hAnsi="Calibri"/>
          <w:sz w:val="22"/>
          <w:szCs w:val="22"/>
          <w:lang w:val="sk-SK"/>
        </w:rPr>
        <w:t xml:space="preserve">priemerného </w:t>
      </w:r>
      <w:r w:rsidRPr="00745F5E">
        <w:rPr>
          <w:rFonts w:ascii="Calibri" w:hAnsi="Calibri"/>
          <w:sz w:val="22"/>
          <w:szCs w:val="22"/>
          <w:lang w:val="sk-SK"/>
        </w:rPr>
        <w:t>počtu jednotkových objemov ZS (teda výkonov)</w:t>
      </w:r>
      <w:r w:rsidR="00A63F69">
        <w:rPr>
          <w:rFonts w:ascii="Calibri" w:hAnsi="Calibri"/>
          <w:sz w:val="22"/>
          <w:szCs w:val="22"/>
          <w:lang w:val="sk-SK"/>
        </w:rPr>
        <w:t xml:space="preserve"> pripadajúcich na jednu ambulanciu</w:t>
      </w:r>
      <w:r w:rsidRPr="00745F5E">
        <w:rPr>
          <w:rFonts w:ascii="Calibri" w:hAnsi="Calibri"/>
          <w:sz w:val="22"/>
          <w:szCs w:val="22"/>
          <w:lang w:val="sk-SK"/>
        </w:rPr>
        <w:t xml:space="preserve"> a celkového počtu ambulancií  príslušnej medicínskej špecializácie v príslušnom časovom období </w:t>
      </w:r>
    </w:p>
    <w:p w:rsidR="00745F5E" w:rsidRPr="00745F5E" w:rsidRDefault="00745F5E" w:rsidP="00745F5E">
      <w:pPr>
        <w:spacing w:line="276" w:lineRule="auto"/>
        <w:ind w:right="-290"/>
        <w:contextualSpacing/>
        <w:rPr>
          <w:rFonts w:ascii="Calibri" w:hAnsi="Calibri"/>
          <w:sz w:val="22"/>
          <w:szCs w:val="22"/>
          <w:lang w:val="sk-SK"/>
        </w:rPr>
      </w:pPr>
      <w:r w:rsidRPr="00745F5E">
        <w:rPr>
          <w:rFonts w:ascii="Calibri" w:hAnsi="Calibri"/>
          <w:sz w:val="22"/>
          <w:szCs w:val="22"/>
          <w:lang w:val="sk-SK"/>
        </w:rPr>
        <w:t>6.4.3. s nedostatkom politickej vôle až odporom voči stratifikácii nemocníc</w:t>
      </w:r>
    </w:p>
    <w:p w:rsidR="00745F5E" w:rsidRPr="00745F5E" w:rsidRDefault="00745F5E" w:rsidP="00745F5E">
      <w:pPr>
        <w:spacing w:line="276" w:lineRule="auto"/>
        <w:ind w:right="-290"/>
        <w:contextualSpacing/>
        <w:rPr>
          <w:rFonts w:ascii="Calibri" w:hAnsi="Calibri"/>
          <w:sz w:val="22"/>
          <w:szCs w:val="22"/>
          <w:lang w:val="sk-SK"/>
        </w:rPr>
      </w:pPr>
    </w:p>
    <w:p w:rsidR="00745F5E" w:rsidRDefault="00CF6F06" w:rsidP="00745F5E">
      <w:pPr>
        <w:spacing w:line="276" w:lineRule="auto"/>
        <w:ind w:right="-290"/>
        <w:contextualSpacing/>
        <w:rPr>
          <w:rFonts w:ascii="Calibri" w:hAnsi="Calibri"/>
          <w:sz w:val="22"/>
          <w:szCs w:val="22"/>
          <w:lang w:val="sk-SK"/>
        </w:rPr>
      </w:pPr>
      <w:r>
        <w:rPr>
          <w:rFonts w:ascii="Calibri" w:hAnsi="Calibri"/>
          <w:sz w:val="22"/>
          <w:szCs w:val="22"/>
          <w:lang w:val="sk-SK"/>
        </w:rPr>
        <w:t>6.5</w:t>
      </w:r>
      <w:r w:rsidR="00745F5E" w:rsidRPr="00745F5E">
        <w:rPr>
          <w:rFonts w:ascii="Calibri" w:hAnsi="Calibri"/>
          <w:sz w:val="22"/>
          <w:szCs w:val="22"/>
          <w:lang w:val="sk-SK"/>
        </w:rPr>
        <w:t xml:space="preserve">. </w:t>
      </w:r>
      <w:r w:rsidR="0066443A">
        <w:rPr>
          <w:rFonts w:ascii="Calibri" w:hAnsi="Calibri"/>
          <w:sz w:val="22"/>
          <w:szCs w:val="22"/>
          <w:lang w:val="sk-SK"/>
        </w:rPr>
        <w:t xml:space="preserve">Navrhovaná systémová redukcia lekárskych miest VLD (výhľadovo do roku 2030) a prehlbovanie asymetrie </w:t>
      </w:r>
      <w:r>
        <w:rPr>
          <w:rFonts w:ascii="Calibri" w:hAnsi="Calibri"/>
          <w:sz w:val="22"/>
          <w:szCs w:val="22"/>
          <w:lang w:val="sk-SK"/>
        </w:rPr>
        <w:t>VAS/ŠAS s</w:t>
      </w:r>
      <w:r w:rsidR="000806D7">
        <w:rPr>
          <w:rFonts w:ascii="Calibri" w:hAnsi="Calibri"/>
          <w:sz w:val="22"/>
          <w:szCs w:val="22"/>
          <w:lang w:val="sk-SK"/>
        </w:rPr>
        <w:t>o súčasne</w:t>
      </w:r>
      <w:r>
        <w:rPr>
          <w:rFonts w:ascii="Calibri" w:hAnsi="Calibri"/>
          <w:sz w:val="22"/>
          <w:szCs w:val="22"/>
          <w:lang w:val="sk-SK"/>
        </w:rPr>
        <w:t xml:space="preserve"> navrhovaným zvyšovaním počtu ŠAS v systéme,</w:t>
      </w:r>
      <w:r w:rsidR="0066443A">
        <w:rPr>
          <w:rFonts w:ascii="Calibri" w:hAnsi="Calibri"/>
          <w:sz w:val="22"/>
          <w:szCs w:val="22"/>
          <w:lang w:val="sk-SK"/>
        </w:rPr>
        <w:t xml:space="preserve"> je v logickom rozpore s odporúčaniami </w:t>
      </w:r>
      <w:r>
        <w:rPr>
          <w:rFonts w:ascii="Calibri" w:hAnsi="Calibri"/>
          <w:sz w:val="22"/>
          <w:szCs w:val="22"/>
          <w:lang w:val="sk-SK"/>
        </w:rPr>
        <w:t>(</w:t>
      </w:r>
      <w:r w:rsidR="0066443A">
        <w:rPr>
          <w:rFonts w:ascii="Calibri" w:hAnsi="Calibri"/>
          <w:sz w:val="22"/>
          <w:szCs w:val="22"/>
          <w:lang w:val="sk-SK"/>
        </w:rPr>
        <w:t>nad</w:t>
      </w:r>
      <w:r>
        <w:rPr>
          <w:rFonts w:ascii="Calibri" w:hAnsi="Calibri"/>
          <w:sz w:val="22"/>
          <w:szCs w:val="22"/>
          <w:lang w:val="sk-SK"/>
        </w:rPr>
        <w:t>)</w:t>
      </w:r>
      <w:r w:rsidR="0066443A">
        <w:rPr>
          <w:rFonts w:ascii="Calibri" w:hAnsi="Calibri"/>
          <w:sz w:val="22"/>
          <w:szCs w:val="22"/>
          <w:lang w:val="sk-SK"/>
        </w:rPr>
        <w:t>národných autorít (WB, IZP MZSR) na</w:t>
      </w:r>
      <w:r w:rsidR="00745F5E" w:rsidRPr="00745F5E">
        <w:rPr>
          <w:rFonts w:ascii="Calibri" w:hAnsi="Calibri"/>
          <w:sz w:val="22"/>
          <w:szCs w:val="22"/>
          <w:lang w:val="sk-SK"/>
        </w:rPr>
        <w:t xml:space="preserve"> rozširovani</w:t>
      </w:r>
      <w:r>
        <w:rPr>
          <w:rFonts w:ascii="Calibri" w:hAnsi="Calibri"/>
          <w:sz w:val="22"/>
          <w:szCs w:val="22"/>
          <w:lang w:val="sk-SK"/>
        </w:rPr>
        <w:t>e</w:t>
      </w:r>
      <w:r w:rsidR="00745F5E" w:rsidRPr="00745F5E">
        <w:rPr>
          <w:rFonts w:ascii="Calibri" w:hAnsi="Calibri"/>
          <w:sz w:val="22"/>
          <w:szCs w:val="22"/>
          <w:lang w:val="sk-SK"/>
        </w:rPr>
        <w:t xml:space="preserve"> </w:t>
      </w:r>
      <w:r w:rsidR="0066443A">
        <w:rPr>
          <w:rFonts w:ascii="Calibri" w:hAnsi="Calibri"/>
          <w:sz w:val="22"/>
          <w:szCs w:val="22"/>
          <w:lang w:val="sk-SK"/>
        </w:rPr>
        <w:t>kompetencií VLD a </w:t>
      </w:r>
      <w:r>
        <w:rPr>
          <w:rFonts w:ascii="Calibri" w:hAnsi="Calibri"/>
          <w:sz w:val="22"/>
          <w:szCs w:val="22"/>
          <w:lang w:val="sk-SK"/>
        </w:rPr>
        <w:t>zvyšovanie</w:t>
      </w:r>
      <w:r w:rsidR="0066443A">
        <w:rPr>
          <w:rFonts w:ascii="Calibri" w:hAnsi="Calibri"/>
          <w:sz w:val="22"/>
          <w:szCs w:val="22"/>
          <w:lang w:val="sk-SK"/>
        </w:rPr>
        <w:t xml:space="preserve"> systémovej funkcionality</w:t>
      </w:r>
      <w:r>
        <w:rPr>
          <w:rFonts w:ascii="Calibri" w:hAnsi="Calibri"/>
          <w:sz w:val="22"/>
          <w:szCs w:val="22"/>
          <w:lang w:val="sk-SK"/>
        </w:rPr>
        <w:t xml:space="preserve"> VLD</w:t>
      </w:r>
      <w:r w:rsidR="0066443A">
        <w:rPr>
          <w:rFonts w:ascii="Calibri" w:hAnsi="Calibri"/>
          <w:sz w:val="22"/>
          <w:szCs w:val="22"/>
          <w:lang w:val="sk-SK"/>
        </w:rPr>
        <w:t>.</w:t>
      </w:r>
    </w:p>
    <w:p w:rsidR="00CF6F06" w:rsidRDefault="00CF6F06" w:rsidP="00745F5E">
      <w:pPr>
        <w:spacing w:line="276" w:lineRule="auto"/>
        <w:ind w:right="-290"/>
        <w:contextualSpacing/>
        <w:rPr>
          <w:rFonts w:ascii="Calibri" w:hAnsi="Calibri"/>
          <w:sz w:val="22"/>
          <w:szCs w:val="22"/>
          <w:lang w:val="sk-SK"/>
        </w:rPr>
      </w:pPr>
    </w:p>
    <w:p w:rsidR="00CF6F06" w:rsidRPr="00745F5E" w:rsidRDefault="00CF6F06" w:rsidP="00745F5E">
      <w:pPr>
        <w:spacing w:line="276" w:lineRule="auto"/>
        <w:ind w:right="-290"/>
        <w:contextualSpacing/>
        <w:rPr>
          <w:rFonts w:ascii="Calibri" w:hAnsi="Calibri"/>
          <w:sz w:val="22"/>
          <w:szCs w:val="22"/>
          <w:lang w:val="sk-SK"/>
        </w:rPr>
      </w:pPr>
      <w:r>
        <w:rPr>
          <w:rFonts w:ascii="Calibri" w:hAnsi="Calibri"/>
          <w:sz w:val="22"/>
          <w:szCs w:val="22"/>
          <w:lang w:val="sk-SK"/>
        </w:rPr>
        <w:t>6.6. Návrh hlavnej odborníčky na optimálny počet pacientov v spádovej oblasti (2.000) je v rozpore s prijatým konsenzom organizácií zastupujúcich VLD v Bystrej 12/2018 v súlade s dátami (nad)národnýc</w:t>
      </w:r>
      <w:r w:rsidR="004D5156">
        <w:rPr>
          <w:rFonts w:ascii="Calibri" w:hAnsi="Calibri"/>
          <w:sz w:val="22"/>
          <w:szCs w:val="22"/>
          <w:lang w:val="sk-SK"/>
        </w:rPr>
        <w:t>h autorít</w:t>
      </w:r>
      <w:r>
        <w:rPr>
          <w:rFonts w:ascii="Calibri" w:hAnsi="Calibri"/>
          <w:sz w:val="22"/>
          <w:szCs w:val="22"/>
          <w:lang w:val="sk-SK"/>
        </w:rPr>
        <w:t>.</w:t>
      </w:r>
    </w:p>
    <w:p w:rsidR="00CF6F06" w:rsidRDefault="00CF6F06" w:rsidP="00CF6F06">
      <w:pPr>
        <w:spacing w:line="276" w:lineRule="auto"/>
        <w:ind w:right="-290"/>
        <w:contextualSpacing/>
        <w:rPr>
          <w:rFonts w:ascii="Calibri" w:hAnsi="Calibri"/>
          <w:sz w:val="22"/>
          <w:szCs w:val="22"/>
          <w:lang w:val="sk-SK"/>
        </w:rPr>
      </w:pPr>
    </w:p>
    <w:p w:rsidR="00CF6F06" w:rsidRPr="00745F5E" w:rsidRDefault="00CF6F06" w:rsidP="00CF6F06">
      <w:pPr>
        <w:spacing w:line="276" w:lineRule="auto"/>
        <w:ind w:right="-290"/>
        <w:contextualSpacing/>
        <w:rPr>
          <w:rFonts w:ascii="Calibri" w:hAnsi="Calibri"/>
          <w:sz w:val="22"/>
          <w:szCs w:val="22"/>
          <w:lang w:val="sk-SK"/>
        </w:rPr>
      </w:pPr>
      <w:r>
        <w:rPr>
          <w:rFonts w:ascii="Calibri" w:hAnsi="Calibri"/>
          <w:sz w:val="22"/>
          <w:szCs w:val="22"/>
          <w:lang w:val="sk-SK"/>
        </w:rPr>
        <w:t>6.7</w:t>
      </w:r>
      <w:r w:rsidRPr="00745F5E">
        <w:rPr>
          <w:rFonts w:ascii="Calibri" w:hAnsi="Calibri"/>
          <w:sz w:val="22"/>
          <w:szCs w:val="22"/>
          <w:lang w:val="sk-SK"/>
        </w:rPr>
        <w:t>. Technický problém s ustálením obsahu zákonnej normy o minimálnej sieti, ktorý by zodpovedal reálnym požiadavkám na kvalitu a dostupnosť ZS v SR je možné predpokladať aj v súvislosti s kvalitou a dôveryhodnosťou zozbieraných dát o údajnom reálnom počte vyšetrených pacientov (v priloženom xls.súbore IZP MZSR)</w:t>
      </w:r>
    </w:p>
    <w:p w:rsidR="00745F5E" w:rsidRPr="00745F5E" w:rsidRDefault="00745F5E" w:rsidP="00745F5E">
      <w:pPr>
        <w:ind w:right="-290"/>
        <w:contextualSpacing/>
        <w:rPr>
          <w:rFonts w:ascii="Calibri" w:hAnsi="Calibri"/>
          <w:sz w:val="22"/>
          <w:szCs w:val="22"/>
          <w:lang w:val="sk-SK"/>
        </w:rPr>
      </w:pPr>
    </w:p>
    <w:p w:rsidR="00745F5E" w:rsidRDefault="00745F5E" w:rsidP="00745F5E">
      <w:pPr>
        <w:ind w:right="-290"/>
        <w:contextualSpacing/>
        <w:rPr>
          <w:rFonts w:ascii="Calibri" w:hAnsi="Calibri"/>
          <w:sz w:val="22"/>
          <w:szCs w:val="22"/>
          <w:lang w:val="sk-SK"/>
        </w:rPr>
      </w:pPr>
    </w:p>
    <w:p w:rsidR="00272AB0" w:rsidRPr="00745F5E" w:rsidRDefault="00272AB0" w:rsidP="00745F5E">
      <w:pPr>
        <w:ind w:right="-290"/>
        <w:contextualSpacing/>
        <w:rPr>
          <w:rFonts w:ascii="Calibri" w:hAnsi="Calibri"/>
          <w:sz w:val="22"/>
          <w:szCs w:val="22"/>
          <w:lang w:val="sk-SK"/>
        </w:rPr>
      </w:pPr>
    </w:p>
    <w:p w:rsidR="00745F5E" w:rsidRPr="00745F5E" w:rsidRDefault="00745F5E" w:rsidP="00745F5E">
      <w:pPr>
        <w:ind w:right="-290"/>
        <w:contextualSpacing/>
        <w:rPr>
          <w:rFonts w:ascii="Calibri" w:hAnsi="Calibri"/>
          <w:b/>
          <w:sz w:val="22"/>
          <w:szCs w:val="22"/>
          <w:lang w:val="sk-SK"/>
        </w:rPr>
      </w:pPr>
      <w:r w:rsidRPr="00745F5E">
        <w:rPr>
          <w:rFonts w:ascii="Calibri" w:hAnsi="Calibri"/>
          <w:b/>
          <w:sz w:val="22"/>
          <w:szCs w:val="22"/>
          <w:lang w:val="sk-SK"/>
        </w:rPr>
        <w:t>Prílohy:</w:t>
      </w:r>
    </w:p>
    <w:p w:rsidR="00745F5E" w:rsidRDefault="00745F5E" w:rsidP="00745F5E">
      <w:pPr>
        <w:contextualSpacing/>
      </w:pPr>
      <w:r w:rsidRPr="00B42460">
        <w:object w:dxaOrig="7216" w:dyaOrig="5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35pt;height:336.15pt" o:ole="">
            <v:imagedata r:id="rId7" o:title=""/>
          </v:shape>
          <o:OLEObject Type="Embed" ProgID="PowerPoint.Slide.12" ShapeID="_x0000_i1025" DrawAspect="Content" ObjectID="_1637823787" r:id="rId8"/>
        </w:object>
      </w:r>
    </w:p>
    <w:p w:rsidR="00912445" w:rsidRPr="00030301" w:rsidRDefault="00745F5E" w:rsidP="00745F5E">
      <w:pPr>
        <w:rPr>
          <w:rFonts w:ascii="Calibri" w:hAnsi="Calibri"/>
          <w:sz w:val="22"/>
          <w:szCs w:val="22"/>
          <w:lang w:val="sk-SK"/>
        </w:rPr>
      </w:pPr>
      <w:r w:rsidRPr="00E02397">
        <w:object w:dxaOrig="7216" w:dyaOrig="5407">
          <v:shape id="_x0000_i1026" type="#_x0000_t75" style="width:442.6pt;height:331.3pt" o:ole="">
            <v:imagedata r:id="rId9" o:title=""/>
          </v:shape>
          <o:OLEObject Type="Embed" ProgID="PowerPoint.Slide.12" ShapeID="_x0000_i1026" DrawAspect="Content" ObjectID="_1637823788" r:id="rId10"/>
        </w:object>
      </w:r>
    </w:p>
    <w:sectPr w:rsidR="00912445" w:rsidRPr="00030301" w:rsidSect="00007BA2">
      <w:headerReference w:type="even" r:id="rId11"/>
      <w:headerReference w:type="default" r:id="rId12"/>
      <w:headerReference w:type="first" r:id="rId13"/>
      <w:pgSz w:w="11900" w:h="16840"/>
      <w:pgMar w:top="1276"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407" w:rsidRDefault="00856407" w:rsidP="00AF768A">
      <w:r>
        <w:separator/>
      </w:r>
    </w:p>
  </w:endnote>
  <w:endnote w:type="continuationSeparator" w:id="1">
    <w:p w:rsidR="00856407" w:rsidRDefault="00856407" w:rsidP="00AF768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407" w:rsidRDefault="00856407" w:rsidP="00AF768A">
      <w:r>
        <w:separator/>
      </w:r>
    </w:p>
  </w:footnote>
  <w:footnote w:type="continuationSeparator" w:id="1">
    <w:p w:rsidR="00856407" w:rsidRDefault="00856407" w:rsidP="00AF7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8A" w:rsidRDefault="003A4669">
    <w:pPr>
      <w:pStyle w:val="Hlavika"/>
    </w:pPr>
    <w:r w:rsidRPr="003A4669">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7" type="#_x0000_t75" style="position:absolute;margin-left:0;margin-top:0;width:595.3pt;height:841.9pt;z-index:-251657216;mso-wrap-edited:f;mso-position-horizontal:center;mso-position-horizontal-relative:margin;mso-position-vertical:center;mso-position-vertical-relative:margin" wrapcoords="10500 288 10283 326 9766 519 9521 904 9439 1211 9521 1519 9766 1808 9793 2077 10827 2115 19858 2154 20348 2423 20076 2461 19913 2558 19913 2769 20403 3058 19886 3058 19831 3269 19940 3365 19858 3442 19831 5481 19940 5539 20403 5827 19994 5827 19913 5885 20049 6135 19967 6135 19831 6308 19831 6443 19967 6751 19913 6808 19831 7886 19994 7962 19858 8078 19831 10463 20403 10751 20403 20292 1278 20542 1278 21003 10065 21003 10446 21003 20593 21003 20593 596 11833 596 11806 519 11289 326 11072 288 10500 288">
          <v:imagedata r:id="rId1" o:title="HPzvl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8A" w:rsidRDefault="003A4669">
    <w:pPr>
      <w:pStyle w:val="Hlavika"/>
    </w:pPr>
    <w:r w:rsidRPr="003A4669">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6" type="#_x0000_t75" style="position:absolute;margin-left:0;margin-top:0;width:595.3pt;height:841.9pt;z-index:-251658240;mso-wrap-edited:f;mso-position-horizontal:center;mso-position-horizontal-relative:margin;mso-position-vertical:center;mso-position-vertical-relative:margin" wrapcoords="10500 288 10283 326 9766 519 9521 904 9439 1211 9521 1519 9766 1808 9793 2077 10827 2115 19858 2154 20348 2423 20076 2461 19913 2558 19913 2769 20403 3058 19886 3058 19831 3269 19940 3365 19858 3442 19831 5481 19940 5539 20403 5827 19994 5827 19913 5885 20049 6135 19967 6135 19831 6308 19831 6443 19967 6751 19913 6808 19831 7886 19994 7962 19858 8078 19831 10463 20403 10751 20403 20292 1278 20542 1278 21003 10065 21003 10446 21003 20593 21003 20593 596 11833 596 11806 519 11289 326 11072 288 10500 288">
          <v:imagedata r:id="rId1" o:title="HPzvld"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8A" w:rsidRDefault="003A4669">
    <w:pPr>
      <w:pStyle w:val="Hlavika"/>
    </w:pPr>
    <w:r w:rsidRPr="003A4669">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0;margin-top:0;width:595.3pt;height:841.9pt;z-index:-251656192;mso-wrap-edited:f;mso-position-horizontal:center;mso-position-horizontal-relative:margin;mso-position-vertical:center;mso-position-vertical-relative:margin" wrapcoords="10500 288 10283 326 9766 519 9521 904 9439 1211 9521 1519 9766 1808 9793 2077 10827 2115 19858 2154 20348 2423 20076 2461 19913 2558 19913 2769 20403 3058 19886 3058 19831 3269 19940 3365 19858 3442 19831 5481 19940 5539 20403 5827 19994 5827 19913 5885 20049 6135 19967 6135 19831 6308 19831 6443 19967 6751 19913 6808 19831 7886 19994 7962 19858 8078 19831 10463 20403 10751 20403 20292 1278 20542 1278 21003 10065 21003 10446 21003 20593 21003 20593 596 11833 596 11806 519 11289 326 11072 288 10500 288">
          <v:imagedata r:id="rId1" o:title="HPzvl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296F"/>
    <w:multiLevelType w:val="multilevel"/>
    <w:tmpl w:val="8B5CAB2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061D3088"/>
    <w:multiLevelType w:val="hybridMultilevel"/>
    <w:tmpl w:val="194A7F42"/>
    <w:lvl w:ilvl="0" w:tplc="76D6567C">
      <w:start w:val="1"/>
      <w:numFmt w:val="bullet"/>
      <w:lvlText w:val="•"/>
      <w:lvlJc w:val="left"/>
      <w:pPr>
        <w:tabs>
          <w:tab w:val="num" w:pos="720"/>
        </w:tabs>
        <w:ind w:left="720" w:hanging="360"/>
      </w:pPr>
      <w:rPr>
        <w:rFonts w:ascii="Arial" w:hAnsi="Arial" w:hint="default"/>
      </w:rPr>
    </w:lvl>
    <w:lvl w:ilvl="1" w:tplc="54BAF8DA" w:tentative="1">
      <w:start w:val="1"/>
      <w:numFmt w:val="bullet"/>
      <w:lvlText w:val="•"/>
      <w:lvlJc w:val="left"/>
      <w:pPr>
        <w:tabs>
          <w:tab w:val="num" w:pos="1440"/>
        </w:tabs>
        <w:ind w:left="1440" w:hanging="360"/>
      </w:pPr>
      <w:rPr>
        <w:rFonts w:ascii="Arial" w:hAnsi="Arial" w:hint="default"/>
      </w:rPr>
    </w:lvl>
    <w:lvl w:ilvl="2" w:tplc="7B2CCAF8" w:tentative="1">
      <w:start w:val="1"/>
      <w:numFmt w:val="bullet"/>
      <w:lvlText w:val="•"/>
      <w:lvlJc w:val="left"/>
      <w:pPr>
        <w:tabs>
          <w:tab w:val="num" w:pos="2160"/>
        </w:tabs>
        <w:ind w:left="2160" w:hanging="360"/>
      </w:pPr>
      <w:rPr>
        <w:rFonts w:ascii="Arial" w:hAnsi="Arial" w:hint="default"/>
      </w:rPr>
    </w:lvl>
    <w:lvl w:ilvl="3" w:tplc="1B90DED8" w:tentative="1">
      <w:start w:val="1"/>
      <w:numFmt w:val="bullet"/>
      <w:lvlText w:val="•"/>
      <w:lvlJc w:val="left"/>
      <w:pPr>
        <w:tabs>
          <w:tab w:val="num" w:pos="2880"/>
        </w:tabs>
        <w:ind w:left="2880" w:hanging="360"/>
      </w:pPr>
      <w:rPr>
        <w:rFonts w:ascii="Arial" w:hAnsi="Arial" w:hint="default"/>
      </w:rPr>
    </w:lvl>
    <w:lvl w:ilvl="4" w:tplc="C20254B8" w:tentative="1">
      <w:start w:val="1"/>
      <w:numFmt w:val="bullet"/>
      <w:lvlText w:val="•"/>
      <w:lvlJc w:val="left"/>
      <w:pPr>
        <w:tabs>
          <w:tab w:val="num" w:pos="3600"/>
        </w:tabs>
        <w:ind w:left="3600" w:hanging="360"/>
      </w:pPr>
      <w:rPr>
        <w:rFonts w:ascii="Arial" w:hAnsi="Arial" w:hint="default"/>
      </w:rPr>
    </w:lvl>
    <w:lvl w:ilvl="5" w:tplc="927C0346" w:tentative="1">
      <w:start w:val="1"/>
      <w:numFmt w:val="bullet"/>
      <w:lvlText w:val="•"/>
      <w:lvlJc w:val="left"/>
      <w:pPr>
        <w:tabs>
          <w:tab w:val="num" w:pos="4320"/>
        </w:tabs>
        <w:ind w:left="4320" w:hanging="360"/>
      </w:pPr>
      <w:rPr>
        <w:rFonts w:ascii="Arial" w:hAnsi="Arial" w:hint="default"/>
      </w:rPr>
    </w:lvl>
    <w:lvl w:ilvl="6" w:tplc="D36C5056" w:tentative="1">
      <w:start w:val="1"/>
      <w:numFmt w:val="bullet"/>
      <w:lvlText w:val="•"/>
      <w:lvlJc w:val="left"/>
      <w:pPr>
        <w:tabs>
          <w:tab w:val="num" w:pos="5040"/>
        </w:tabs>
        <w:ind w:left="5040" w:hanging="360"/>
      </w:pPr>
      <w:rPr>
        <w:rFonts w:ascii="Arial" w:hAnsi="Arial" w:hint="default"/>
      </w:rPr>
    </w:lvl>
    <w:lvl w:ilvl="7" w:tplc="8B302B12" w:tentative="1">
      <w:start w:val="1"/>
      <w:numFmt w:val="bullet"/>
      <w:lvlText w:val="•"/>
      <w:lvlJc w:val="left"/>
      <w:pPr>
        <w:tabs>
          <w:tab w:val="num" w:pos="5760"/>
        </w:tabs>
        <w:ind w:left="5760" w:hanging="360"/>
      </w:pPr>
      <w:rPr>
        <w:rFonts w:ascii="Arial" w:hAnsi="Arial" w:hint="default"/>
      </w:rPr>
    </w:lvl>
    <w:lvl w:ilvl="8" w:tplc="BDC851A8" w:tentative="1">
      <w:start w:val="1"/>
      <w:numFmt w:val="bullet"/>
      <w:lvlText w:val="•"/>
      <w:lvlJc w:val="left"/>
      <w:pPr>
        <w:tabs>
          <w:tab w:val="num" w:pos="6480"/>
        </w:tabs>
        <w:ind w:left="6480" w:hanging="360"/>
      </w:pPr>
      <w:rPr>
        <w:rFonts w:ascii="Arial" w:hAnsi="Arial" w:hint="default"/>
      </w:rPr>
    </w:lvl>
  </w:abstractNum>
  <w:abstractNum w:abstractNumId="2">
    <w:nsid w:val="068A1B5F"/>
    <w:multiLevelType w:val="multilevel"/>
    <w:tmpl w:val="89981928"/>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C347F1"/>
    <w:multiLevelType w:val="multilevel"/>
    <w:tmpl w:val="4AA633D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nsid w:val="18A36057"/>
    <w:multiLevelType w:val="multilevel"/>
    <w:tmpl w:val="8E3624F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nsid w:val="23DA0C43"/>
    <w:multiLevelType w:val="hybridMultilevel"/>
    <w:tmpl w:val="1CCE5810"/>
    <w:lvl w:ilvl="0" w:tplc="B4AE2E2A">
      <w:start w:val="1"/>
      <w:numFmt w:val="bullet"/>
      <w:lvlText w:val="•"/>
      <w:lvlJc w:val="left"/>
      <w:pPr>
        <w:tabs>
          <w:tab w:val="num" w:pos="720"/>
        </w:tabs>
        <w:ind w:left="720" w:hanging="360"/>
      </w:pPr>
      <w:rPr>
        <w:rFonts w:ascii="Arial" w:hAnsi="Arial" w:hint="default"/>
      </w:rPr>
    </w:lvl>
    <w:lvl w:ilvl="1" w:tplc="4BAEC6D4" w:tentative="1">
      <w:start w:val="1"/>
      <w:numFmt w:val="bullet"/>
      <w:lvlText w:val="•"/>
      <w:lvlJc w:val="left"/>
      <w:pPr>
        <w:tabs>
          <w:tab w:val="num" w:pos="1440"/>
        </w:tabs>
        <w:ind w:left="1440" w:hanging="360"/>
      </w:pPr>
      <w:rPr>
        <w:rFonts w:ascii="Arial" w:hAnsi="Arial" w:hint="default"/>
      </w:rPr>
    </w:lvl>
    <w:lvl w:ilvl="2" w:tplc="373097A0" w:tentative="1">
      <w:start w:val="1"/>
      <w:numFmt w:val="bullet"/>
      <w:lvlText w:val="•"/>
      <w:lvlJc w:val="left"/>
      <w:pPr>
        <w:tabs>
          <w:tab w:val="num" w:pos="2160"/>
        </w:tabs>
        <w:ind w:left="2160" w:hanging="360"/>
      </w:pPr>
      <w:rPr>
        <w:rFonts w:ascii="Arial" w:hAnsi="Arial" w:hint="default"/>
      </w:rPr>
    </w:lvl>
    <w:lvl w:ilvl="3" w:tplc="78584C52" w:tentative="1">
      <w:start w:val="1"/>
      <w:numFmt w:val="bullet"/>
      <w:lvlText w:val="•"/>
      <w:lvlJc w:val="left"/>
      <w:pPr>
        <w:tabs>
          <w:tab w:val="num" w:pos="2880"/>
        </w:tabs>
        <w:ind w:left="2880" w:hanging="360"/>
      </w:pPr>
      <w:rPr>
        <w:rFonts w:ascii="Arial" w:hAnsi="Arial" w:hint="default"/>
      </w:rPr>
    </w:lvl>
    <w:lvl w:ilvl="4" w:tplc="4252C12C" w:tentative="1">
      <w:start w:val="1"/>
      <w:numFmt w:val="bullet"/>
      <w:lvlText w:val="•"/>
      <w:lvlJc w:val="left"/>
      <w:pPr>
        <w:tabs>
          <w:tab w:val="num" w:pos="3600"/>
        </w:tabs>
        <w:ind w:left="3600" w:hanging="360"/>
      </w:pPr>
      <w:rPr>
        <w:rFonts w:ascii="Arial" w:hAnsi="Arial" w:hint="default"/>
      </w:rPr>
    </w:lvl>
    <w:lvl w:ilvl="5" w:tplc="482AF8F6" w:tentative="1">
      <w:start w:val="1"/>
      <w:numFmt w:val="bullet"/>
      <w:lvlText w:val="•"/>
      <w:lvlJc w:val="left"/>
      <w:pPr>
        <w:tabs>
          <w:tab w:val="num" w:pos="4320"/>
        </w:tabs>
        <w:ind w:left="4320" w:hanging="360"/>
      </w:pPr>
      <w:rPr>
        <w:rFonts w:ascii="Arial" w:hAnsi="Arial" w:hint="default"/>
      </w:rPr>
    </w:lvl>
    <w:lvl w:ilvl="6" w:tplc="99DAD360" w:tentative="1">
      <w:start w:val="1"/>
      <w:numFmt w:val="bullet"/>
      <w:lvlText w:val="•"/>
      <w:lvlJc w:val="left"/>
      <w:pPr>
        <w:tabs>
          <w:tab w:val="num" w:pos="5040"/>
        </w:tabs>
        <w:ind w:left="5040" w:hanging="360"/>
      </w:pPr>
      <w:rPr>
        <w:rFonts w:ascii="Arial" w:hAnsi="Arial" w:hint="default"/>
      </w:rPr>
    </w:lvl>
    <w:lvl w:ilvl="7" w:tplc="CA884548" w:tentative="1">
      <w:start w:val="1"/>
      <w:numFmt w:val="bullet"/>
      <w:lvlText w:val="•"/>
      <w:lvlJc w:val="left"/>
      <w:pPr>
        <w:tabs>
          <w:tab w:val="num" w:pos="5760"/>
        </w:tabs>
        <w:ind w:left="5760" w:hanging="360"/>
      </w:pPr>
      <w:rPr>
        <w:rFonts w:ascii="Arial" w:hAnsi="Arial" w:hint="default"/>
      </w:rPr>
    </w:lvl>
    <w:lvl w:ilvl="8" w:tplc="5E741A20" w:tentative="1">
      <w:start w:val="1"/>
      <w:numFmt w:val="bullet"/>
      <w:lvlText w:val="•"/>
      <w:lvlJc w:val="left"/>
      <w:pPr>
        <w:tabs>
          <w:tab w:val="num" w:pos="6480"/>
        </w:tabs>
        <w:ind w:left="6480" w:hanging="360"/>
      </w:pPr>
      <w:rPr>
        <w:rFonts w:ascii="Arial" w:hAnsi="Arial" w:hint="default"/>
      </w:rPr>
    </w:lvl>
  </w:abstractNum>
  <w:abstractNum w:abstractNumId="6">
    <w:nsid w:val="29264FB8"/>
    <w:multiLevelType w:val="multilevel"/>
    <w:tmpl w:val="216ED3AA"/>
    <w:lvl w:ilvl="0">
      <w:numFmt w:val="bullet"/>
      <w:lvlText w:val="-"/>
      <w:lvlJc w:val="left"/>
      <w:pPr>
        <w:ind w:left="1080" w:hanging="360"/>
      </w:pPr>
      <w:rPr>
        <w:rFonts w:ascii="Times New Roman" w:eastAsia="Calibri"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nsid w:val="2B3725E0"/>
    <w:multiLevelType w:val="multilevel"/>
    <w:tmpl w:val="9586C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8BC3DA4"/>
    <w:multiLevelType w:val="multilevel"/>
    <w:tmpl w:val="1E9237D6"/>
    <w:lvl w:ilvl="0">
      <w:numFmt w:val="bullet"/>
      <w:lvlText w:val="-"/>
      <w:lvlJc w:val="left"/>
      <w:pPr>
        <w:ind w:left="1080" w:hanging="360"/>
      </w:pPr>
      <w:rPr>
        <w:rFonts w:ascii="Times New Roman" w:eastAsia="Calibri"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nsid w:val="40DE456A"/>
    <w:multiLevelType w:val="multilevel"/>
    <w:tmpl w:val="792AE43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nsid w:val="40DF7DCC"/>
    <w:multiLevelType w:val="hybridMultilevel"/>
    <w:tmpl w:val="AF76B44E"/>
    <w:lvl w:ilvl="0" w:tplc="B98CD924">
      <w:start w:val="1"/>
      <w:numFmt w:val="bullet"/>
      <w:lvlText w:val="•"/>
      <w:lvlJc w:val="left"/>
      <w:pPr>
        <w:tabs>
          <w:tab w:val="num" w:pos="720"/>
        </w:tabs>
        <w:ind w:left="720" w:hanging="360"/>
      </w:pPr>
      <w:rPr>
        <w:rFonts w:ascii="Arial" w:hAnsi="Arial" w:hint="default"/>
      </w:rPr>
    </w:lvl>
    <w:lvl w:ilvl="1" w:tplc="F99A18FE" w:tentative="1">
      <w:start w:val="1"/>
      <w:numFmt w:val="bullet"/>
      <w:lvlText w:val="•"/>
      <w:lvlJc w:val="left"/>
      <w:pPr>
        <w:tabs>
          <w:tab w:val="num" w:pos="1440"/>
        </w:tabs>
        <w:ind w:left="1440" w:hanging="360"/>
      </w:pPr>
      <w:rPr>
        <w:rFonts w:ascii="Arial" w:hAnsi="Arial" w:hint="default"/>
      </w:rPr>
    </w:lvl>
    <w:lvl w:ilvl="2" w:tplc="47D2CBFE" w:tentative="1">
      <w:start w:val="1"/>
      <w:numFmt w:val="bullet"/>
      <w:lvlText w:val="•"/>
      <w:lvlJc w:val="left"/>
      <w:pPr>
        <w:tabs>
          <w:tab w:val="num" w:pos="2160"/>
        </w:tabs>
        <w:ind w:left="2160" w:hanging="360"/>
      </w:pPr>
      <w:rPr>
        <w:rFonts w:ascii="Arial" w:hAnsi="Arial" w:hint="default"/>
      </w:rPr>
    </w:lvl>
    <w:lvl w:ilvl="3" w:tplc="85B052A8" w:tentative="1">
      <w:start w:val="1"/>
      <w:numFmt w:val="bullet"/>
      <w:lvlText w:val="•"/>
      <w:lvlJc w:val="left"/>
      <w:pPr>
        <w:tabs>
          <w:tab w:val="num" w:pos="2880"/>
        </w:tabs>
        <w:ind w:left="2880" w:hanging="360"/>
      </w:pPr>
      <w:rPr>
        <w:rFonts w:ascii="Arial" w:hAnsi="Arial" w:hint="default"/>
      </w:rPr>
    </w:lvl>
    <w:lvl w:ilvl="4" w:tplc="88CA4A52" w:tentative="1">
      <w:start w:val="1"/>
      <w:numFmt w:val="bullet"/>
      <w:lvlText w:val="•"/>
      <w:lvlJc w:val="left"/>
      <w:pPr>
        <w:tabs>
          <w:tab w:val="num" w:pos="3600"/>
        </w:tabs>
        <w:ind w:left="3600" w:hanging="360"/>
      </w:pPr>
      <w:rPr>
        <w:rFonts w:ascii="Arial" w:hAnsi="Arial" w:hint="default"/>
      </w:rPr>
    </w:lvl>
    <w:lvl w:ilvl="5" w:tplc="824C0BE8" w:tentative="1">
      <w:start w:val="1"/>
      <w:numFmt w:val="bullet"/>
      <w:lvlText w:val="•"/>
      <w:lvlJc w:val="left"/>
      <w:pPr>
        <w:tabs>
          <w:tab w:val="num" w:pos="4320"/>
        </w:tabs>
        <w:ind w:left="4320" w:hanging="360"/>
      </w:pPr>
      <w:rPr>
        <w:rFonts w:ascii="Arial" w:hAnsi="Arial" w:hint="default"/>
      </w:rPr>
    </w:lvl>
    <w:lvl w:ilvl="6" w:tplc="06703538" w:tentative="1">
      <w:start w:val="1"/>
      <w:numFmt w:val="bullet"/>
      <w:lvlText w:val="•"/>
      <w:lvlJc w:val="left"/>
      <w:pPr>
        <w:tabs>
          <w:tab w:val="num" w:pos="5040"/>
        </w:tabs>
        <w:ind w:left="5040" w:hanging="360"/>
      </w:pPr>
      <w:rPr>
        <w:rFonts w:ascii="Arial" w:hAnsi="Arial" w:hint="default"/>
      </w:rPr>
    </w:lvl>
    <w:lvl w:ilvl="7" w:tplc="F14EDE9C" w:tentative="1">
      <w:start w:val="1"/>
      <w:numFmt w:val="bullet"/>
      <w:lvlText w:val="•"/>
      <w:lvlJc w:val="left"/>
      <w:pPr>
        <w:tabs>
          <w:tab w:val="num" w:pos="5760"/>
        </w:tabs>
        <w:ind w:left="5760" w:hanging="360"/>
      </w:pPr>
      <w:rPr>
        <w:rFonts w:ascii="Arial" w:hAnsi="Arial" w:hint="default"/>
      </w:rPr>
    </w:lvl>
    <w:lvl w:ilvl="8" w:tplc="BFB64F84" w:tentative="1">
      <w:start w:val="1"/>
      <w:numFmt w:val="bullet"/>
      <w:lvlText w:val="•"/>
      <w:lvlJc w:val="left"/>
      <w:pPr>
        <w:tabs>
          <w:tab w:val="num" w:pos="6480"/>
        </w:tabs>
        <w:ind w:left="6480" w:hanging="360"/>
      </w:pPr>
      <w:rPr>
        <w:rFonts w:ascii="Arial" w:hAnsi="Arial" w:hint="default"/>
      </w:rPr>
    </w:lvl>
  </w:abstractNum>
  <w:abstractNum w:abstractNumId="11">
    <w:nsid w:val="50E40BBF"/>
    <w:multiLevelType w:val="multilevel"/>
    <w:tmpl w:val="A91E8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1EC65C5"/>
    <w:multiLevelType w:val="hybridMultilevel"/>
    <w:tmpl w:val="6890ED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68107CAE"/>
    <w:multiLevelType w:val="multilevel"/>
    <w:tmpl w:val="F9DC3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8710AD2"/>
    <w:multiLevelType w:val="hybridMultilevel"/>
    <w:tmpl w:val="2660A95E"/>
    <w:lvl w:ilvl="0" w:tplc="A9082350">
      <w:start w:val="1"/>
      <w:numFmt w:val="lowerLetter"/>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5">
    <w:nsid w:val="69CD3BF3"/>
    <w:multiLevelType w:val="hybridMultilevel"/>
    <w:tmpl w:val="527E17B8"/>
    <w:lvl w:ilvl="0" w:tplc="3E42F366">
      <w:start w:val="1"/>
      <w:numFmt w:val="bullet"/>
      <w:lvlText w:val="•"/>
      <w:lvlJc w:val="left"/>
      <w:pPr>
        <w:tabs>
          <w:tab w:val="num" w:pos="720"/>
        </w:tabs>
        <w:ind w:left="720" w:hanging="360"/>
      </w:pPr>
      <w:rPr>
        <w:rFonts w:ascii="Arial" w:hAnsi="Arial" w:hint="default"/>
      </w:rPr>
    </w:lvl>
    <w:lvl w:ilvl="1" w:tplc="2CAAF41A" w:tentative="1">
      <w:start w:val="1"/>
      <w:numFmt w:val="bullet"/>
      <w:lvlText w:val="•"/>
      <w:lvlJc w:val="left"/>
      <w:pPr>
        <w:tabs>
          <w:tab w:val="num" w:pos="1440"/>
        </w:tabs>
        <w:ind w:left="1440" w:hanging="360"/>
      </w:pPr>
      <w:rPr>
        <w:rFonts w:ascii="Arial" w:hAnsi="Arial" w:hint="default"/>
      </w:rPr>
    </w:lvl>
    <w:lvl w:ilvl="2" w:tplc="423AFF6C" w:tentative="1">
      <w:start w:val="1"/>
      <w:numFmt w:val="bullet"/>
      <w:lvlText w:val="•"/>
      <w:lvlJc w:val="left"/>
      <w:pPr>
        <w:tabs>
          <w:tab w:val="num" w:pos="2160"/>
        </w:tabs>
        <w:ind w:left="2160" w:hanging="360"/>
      </w:pPr>
      <w:rPr>
        <w:rFonts w:ascii="Arial" w:hAnsi="Arial" w:hint="default"/>
      </w:rPr>
    </w:lvl>
    <w:lvl w:ilvl="3" w:tplc="950C6802" w:tentative="1">
      <w:start w:val="1"/>
      <w:numFmt w:val="bullet"/>
      <w:lvlText w:val="•"/>
      <w:lvlJc w:val="left"/>
      <w:pPr>
        <w:tabs>
          <w:tab w:val="num" w:pos="2880"/>
        </w:tabs>
        <w:ind w:left="2880" w:hanging="360"/>
      </w:pPr>
      <w:rPr>
        <w:rFonts w:ascii="Arial" w:hAnsi="Arial" w:hint="default"/>
      </w:rPr>
    </w:lvl>
    <w:lvl w:ilvl="4" w:tplc="AE2690A4" w:tentative="1">
      <w:start w:val="1"/>
      <w:numFmt w:val="bullet"/>
      <w:lvlText w:val="•"/>
      <w:lvlJc w:val="left"/>
      <w:pPr>
        <w:tabs>
          <w:tab w:val="num" w:pos="3600"/>
        </w:tabs>
        <w:ind w:left="3600" w:hanging="360"/>
      </w:pPr>
      <w:rPr>
        <w:rFonts w:ascii="Arial" w:hAnsi="Arial" w:hint="default"/>
      </w:rPr>
    </w:lvl>
    <w:lvl w:ilvl="5" w:tplc="6C6830E6" w:tentative="1">
      <w:start w:val="1"/>
      <w:numFmt w:val="bullet"/>
      <w:lvlText w:val="•"/>
      <w:lvlJc w:val="left"/>
      <w:pPr>
        <w:tabs>
          <w:tab w:val="num" w:pos="4320"/>
        </w:tabs>
        <w:ind w:left="4320" w:hanging="360"/>
      </w:pPr>
      <w:rPr>
        <w:rFonts w:ascii="Arial" w:hAnsi="Arial" w:hint="default"/>
      </w:rPr>
    </w:lvl>
    <w:lvl w:ilvl="6" w:tplc="4412D7F4" w:tentative="1">
      <w:start w:val="1"/>
      <w:numFmt w:val="bullet"/>
      <w:lvlText w:val="•"/>
      <w:lvlJc w:val="left"/>
      <w:pPr>
        <w:tabs>
          <w:tab w:val="num" w:pos="5040"/>
        </w:tabs>
        <w:ind w:left="5040" w:hanging="360"/>
      </w:pPr>
      <w:rPr>
        <w:rFonts w:ascii="Arial" w:hAnsi="Arial" w:hint="default"/>
      </w:rPr>
    </w:lvl>
    <w:lvl w:ilvl="7" w:tplc="62F85634" w:tentative="1">
      <w:start w:val="1"/>
      <w:numFmt w:val="bullet"/>
      <w:lvlText w:val="•"/>
      <w:lvlJc w:val="left"/>
      <w:pPr>
        <w:tabs>
          <w:tab w:val="num" w:pos="5760"/>
        </w:tabs>
        <w:ind w:left="5760" w:hanging="360"/>
      </w:pPr>
      <w:rPr>
        <w:rFonts w:ascii="Arial" w:hAnsi="Arial" w:hint="default"/>
      </w:rPr>
    </w:lvl>
    <w:lvl w:ilvl="8" w:tplc="76F40904" w:tentative="1">
      <w:start w:val="1"/>
      <w:numFmt w:val="bullet"/>
      <w:lvlText w:val="•"/>
      <w:lvlJc w:val="left"/>
      <w:pPr>
        <w:tabs>
          <w:tab w:val="num" w:pos="6480"/>
        </w:tabs>
        <w:ind w:left="6480" w:hanging="360"/>
      </w:pPr>
      <w:rPr>
        <w:rFonts w:ascii="Arial" w:hAnsi="Arial" w:hint="default"/>
      </w:rPr>
    </w:lvl>
  </w:abstractNum>
  <w:abstractNum w:abstractNumId="16">
    <w:nsid w:val="746B06A1"/>
    <w:multiLevelType w:val="hybridMultilevel"/>
    <w:tmpl w:val="35428D10"/>
    <w:lvl w:ilvl="0" w:tplc="5BD0D536">
      <w:start w:val="7"/>
      <w:numFmt w:val="bullet"/>
      <w:lvlText w:val="-"/>
      <w:lvlJc w:val="left"/>
      <w:pPr>
        <w:ind w:left="720" w:hanging="360"/>
      </w:pPr>
      <w:rPr>
        <w:rFonts w:ascii="Calibri" w:eastAsiaTheme="minorEastAsia"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7F832C03"/>
    <w:multiLevelType w:val="hybridMultilevel"/>
    <w:tmpl w:val="97B807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7"/>
  </w:num>
  <w:num w:numId="3">
    <w:abstractNumId w:val="7"/>
  </w:num>
  <w:num w:numId="4">
    <w:abstractNumId w:val="7"/>
    <w:lvlOverride w:ilvl="0">
      <w:startOverride w:val="1"/>
    </w:lvlOverride>
  </w:num>
  <w:num w:numId="5">
    <w:abstractNumId w:val="11"/>
    <w:lvlOverride w:ilvl="0">
      <w:startOverride w:val="1"/>
    </w:lvlOverride>
  </w:num>
  <w:num w:numId="6">
    <w:abstractNumId w:val="8"/>
  </w:num>
  <w:num w:numId="7">
    <w:abstractNumId w:val="2"/>
    <w:lvlOverride w:ilvl="0">
      <w:startOverride w:val="1"/>
    </w:lvlOverride>
  </w:num>
  <w:num w:numId="8">
    <w:abstractNumId w:val="9"/>
  </w:num>
  <w:num w:numId="9">
    <w:abstractNumId w:val="9"/>
    <w:lvlOverride w:ilvl="0">
      <w:startOverride w:val="1"/>
    </w:lvlOverride>
  </w:num>
  <w:num w:numId="10">
    <w:abstractNumId w:val="4"/>
  </w:num>
  <w:num w:numId="11">
    <w:abstractNumId w:val="4"/>
    <w:lvlOverride w:ilvl="0">
      <w:startOverride w:val="1"/>
    </w:lvlOverride>
  </w:num>
  <w:num w:numId="12">
    <w:abstractNumId w:val="13"/>
  </w:num>
  <w:num w:numId="13">
    <w:abstractNumId w:val="13"/>
    <w:lvlOverride w:ilvl="0">
      <w:startOverride w:val="1"/>
    </w:lvlOverride>
  </w:num>
  <w:num w:numId="14">
    <w:abstractNumId w:val="1"/>
  </w:num>
  <w:num w:numId="15">
    <w:abstractNumId w:val="16"/>
  </w:num>
  <w:num w:numId="16">
    <w:abstractNumId w:val="5"/>
  </w:num>
  <w:num w:numId="17">
    <w:abstractNumId w:val="10"/>
  </w:num>
  <w:num w:numId="18">
    <w:abstractNumId w:val="15"/>
  </w:num>
  <w:num w:numId="19">
    <w:abstractNumId w:val="11"/>
  </w:num>
  <w:num w:numId="20">
    <w:abstractNumId w:val="2"/>
  </w:num>
  <w:num w:numId="21">
    <w:abstractNumId w:val="14"/>
  </w:num>
  <w:num w:numId="22">
    <w:abstractNumId w:val="3"/>
  </w:num>
  <w:num w:numId="23">
    <w:abstractNumId w:val="3"/>
    <w:lvlOverride w:ilvl="0">
      <w:startOverride w:val="1"/>
    </w:lvlOverride>
  </w:num>
  <w:num w:numId="24">
    <w:abstractNumId w:val="0"/>
  </w:num>
  <w:num w:numId="25">
    <w:abstractNumId w:val="0"/>
    <w:lvlOverride w:ilvl="0">
      <w:startOverride w:val="1"/>
    </w:lvlOverride>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cumentProtection w:edit="readOnly" w:enforcement="1" w:cryptProviderType="rsaFull" w:cryptAlgorithmClass="hash" w:cryptAlgorithmType="typeAny" w:cryptAlgorithmSid="4" w:cryptSpinCount="50000" w:hash="iTtuT+XH+5esiMLgBs2GAh+mBMs=" w:salt="gjja2eerEnHt72rMpAG+RQ=="/>
  <w:defaultTabStop w:val="708"/>
  <w:hyphenationZone w:val="425"/>
  <w:characterSpacingControl w:val="doNotCompress"/>
  <w:savePreviewPicture/>
  <w:hdrShapeDefaults>
    <o:shapedefaults v:ext="edit" spidmax="39938"/>
    <o:shapelayout v:ext="edit">
      <o:idmap v:ext="edit" data="1"/>
    </o:shapelayout>
  </w:hdrShapeDefaults>
  <w:footnotePr>
    <w:footnote w:id="0"/>
    <w:footnote w:id="1"/>
  </w:footnotePr>
  <w:endnotePr>
    <w:endnote w:id="0"/>
    <w:endnote w:id="1"/>
  </w:endnotePr>
  <w:compat>
    <w:useFELayout/>
  </w:compat>
  <w:rsids>
    <w:rsidRoot w:val="00AF768A"/>
    <w:rsid w:val="00007BA2"/>
    <w:rsid w:val="00010FA1"/>
    <w:rsid w:val="00030301"/>
    <w:rsid w:val="000629BE"/>
    <w:rsid w:val="000806D7"/>
    <w:rsid w:val="000818E7"/>
    <w:rsid w:val="00094979"/>
    <w:rsid w:val="000E0095"/>
    <w:rsid w:val="0018195B"/>
    <w:rsid w:val="001A2F97"/>
    <w:rsid w:val="001A4BEB"/>
    <w:rsid w:val="00272AB0"/>
    <w:rsid w:val="002D0679"/>
    <w:rsid w:val="00312234"/>
    <w:rsid w:val="00314A20"/>
    <w:rsid w:val="003427F1"/>
    <w:rsid w:val="00344B87"/>
    <w:rsid w:val="003A4669"/>
    <w:rsid w:val="003B2EB4"/>
    <w:rsid w:val="003B40BE"/>
    <w:rsid w:val="003E35B5"/>
    <w:rsid w:val="00413740"/>
    <w:rsid w:val="0044724C"/>
    <w:rsid w:val="00450DD6"/>
    <w:rsid w:val="00452F85"/>
    <w:rsid w:val="00470F91"/>
    <w:rsid w:val="0048346E"/>
    <w:rsid w:val="004B4A0C"/>
    <w:rsid w:val="004D5156"/>
    <w:rsid w:val="0066443A"/>
    <w:rsid w:val="00684F32"/>
    <w:rsid w:val="0071410A"/>
    <w:rsid w:val="007376B5"/>
    <w:rsid w:val="00742440"/>
    <w:rsid w:val="00745F5E"/>
    <w:rsid w:val="007B1B39"/>
    <w:rsid w:val="008372AB"/>
    <w:rsid w:val="00856407"/>
    <w:rsid w:val="00890D25"/>
    <w:rsid w:val="008979B6"/>
    <w:rsid w:val="008D54F7"/>
    <w:rsid w:val="00912445"/>
    <w:rsid w:val="00915DB7"/>
    <w:rsid w:val="009358C3"/>
    <w:rsid w:val="009969B0"/>
    <w:rsid w:val="00A26F24"/>
    <w:rsid w:val="00A63F69"/>
    <w:rsid w:val="00A95458"/>
    <w:rsid w:val="00AC737F"/>
    <w:rsid w:val="00AF768A"/>
    <w:rsid w:val="00B3365F"/>
    <w:rsid w:val="00B33693"/>
    <w:rsid w:val="00B906BB"/>
    <w:rsid w:val="00C117ED"/>
    <w:rsid w:val="00C208CF"/>
    <w:rsid w:val="00C24C78"/>
    <w:rsid w:val="00C94072"/>
    <w:rsid w:val="00CA2E15"/>
    <w:rsid w:val="00CF6F06"/>
    <w:rsid w:val="00CF7D50"/>
    <w:rsid w:val="00D3510F"/>
    <w:rsid w:val="00D36DA1"/>
    <w:rsid w:val="00D97F54"/>
    <w:rsid w:val="00DA2D99"/>
    <w:rsid w:val="00E0189F"/>
    <w:rsid w:val="00E055A3"/>
    <w:rsid w:val="00E12F0B"/>
    <w:rsid w:val="00E25FE3"/>
    <w:rsid w:val="00E30998"/>
    <w:rsid w:val="00E317D3"/>
    <w:rsid w:val="00E92984"/>
    <w:rsid w:val="00EA0F27"/>
    <w:rsid w:val="00EC1803"/>
    <w:rsid w:val="00EF2F70"/>
    <w:rsid w:val="00F85A1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cs-CZ"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76B5"/>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F768A"/>
    <w:pPr>
      <w:tabs>
        <w:tab w:val="center" w:pos="4536"/>
        <w:tab w:val="right" w:pos="9072"/>
      </w:tabs>
    </w:pPr>
  </w:style>
  <w:style w:type="character" w:customStyle="1" w:styleId="HlavikaChar">
    <w:name w:val="Hlavička Char"/>
    <w:basedOn w:val="Predvolenpsmoodseku"/>
    <w:link w:val="Hlavika"/>
    <w:uiPriority w:val="99"/>
    <w:rsid w:val="00AF768A"/>
  </w:style>
  <w:style w:type="paragraph" w:styleId="Pta">
    <w:name w:val="footer"/>
    <w:basedOn w:val="Normlny"/>
    <w:link w:val="PtaChar"/>
    <w:uiPriority w:val="99"/>
    <w:unhideWhenUsed/>
    <w:rsid w:val="00AF768A"/>
    <w:pPr>
      <w:tabs>
        <w:tab w:val="center" w:pos="4536"/>
        <w:tab w:val="right" w:pos="9072"/>
      </w:tabs>
    </w:pPr>
  </w:style>
  <w:style w:type="character" w:customStyle="1" w:styleId="PtaChar">
    <w:name w:val="Päta Char"/>
    <w:basedOn w:val="Predvolenpsmoodseku"/>
    <w:link w:val="Pta"/>
    <w:uiPriority w:val="99"/>
    <w:rsid w:val="00AF768A"/>
  </w:style>
  <w:style w:type="character" w:styleId="Hypertextovprepojenie">
    <w:name w:val="Hyperlink"/>
    <w:basedOn w:val="Predvolenpsmoodseku"/>
    <w:unhideWhenUsed/>
    <w:rsid w:val="009358C3"/>
    <w:rPr>
      <w:color w:val="0000FF"/>
      <w:u w:val="single"/>
    </w:rPr>
  </w:style>
  <w:style w:type="paragraph" w:styleId="Odsekzoznamu">
    <w:name w:val="List Paragraph"/>
    <w:basedOn w:val="Normlny"/>
    <w:qFormat/>
    <w:rsid w:val="009358C3"/>
    <w:pPr>
      <w:spacing w:after="200" w:line="276" w:lineRule="auto"/>
      <w:ind w:left="720"/>
      <w:contextualSpacing/>
    </w:pPr>
    <w:rPr>
      <w:rFonts w:ascii="Calibri" w:eastAsia="Calibri" w:hAnsi="Calibri" w:cs="Calibri"/>
      <w:sz w:val="22"/>
      <w:szCs w:val="22"/>
      <w:lang w:val="sk-SK" w:eastAsia="en-US"/>
    </w:rPr>
  </w:style>
  <w:style w:type="paragraph" w:styleId="Normlnywebov">
    <w:name w:val="Normal (Web)"/>
    <w:basedOn w:val="Normlny"/>
    <w:uiPriority w:val="99"/>
    <w:unhideWhenUsed/>
    <w:rsid w:val="009358C3"/>
    <w:pPr>
      <w:spacing w:before="100" w:beforeAutospacing="1" w:after="100" w:afterAutospacing="1"/>
    </w:pPr>
    <w:rPr>
      <w:rFonts w:ascii="Times New Roman" w:eastAsia="Times New Roman" w:hAnsi="Times New Roman" w:cs="Times New Roman"/>
      <w:lang w:val="sk-SK" w:eastAsia="sk-SK"/>
    </w:rPr>
  </w:style>
  <w:style w:type="paragraph" w:customStyle="1" w:styleId="m-186544357562781882msonormal">
    <w:name w:val="m_-186544357562781882msonormal"/>
    <w:basedOn w:val="Normlny"/>
    <w:rsid w:val="009358C3"/>
    <w:pPr>
      <w:spacing w:before="100" w:beforeAutospacing="1" w:after="100" w:afterAutospacing="1"/>
    </w:pPr>
    <w:rPr>
      <w:rFonts w:ascii="Times New Roman" w:eastAsia="Times New Roman" w:hAnsi="Times New Roman" w:cs="Times New Roman"/>
      <w:lang w:val="sk-SK" w:eastAsia="sk-SK"/>
    </w:rPr>
  </w:style>
  <w:style w:type="paragraph" w:customStyle="1" w:styleId="Default">
    <w:name w:val="Default"/>
    <w:rsid w:val="00344B87"/>
    <w:pPr>
      <w:autoSpaceDE w:val="0"/>
      <w:autoSpaceDN w:val="0"/>
    </w:pPr>
    <w:rPr>
      <w:rFonts w:ascii="Georgia" w:eastAsia="Calibri" w:hAnsi="Georgia" w:cs="Georgia"/>
      <w:color w:val="000000"/>
      <w:lang w:val="sk-SK" w:eastAsia="sk-SK"/>
    </w:rPr>
  </w:style>
  <w:style w:type="character" w:styleId="Siln">
    <w:name w:val="Strong"/>
    <w:basedOn w:val="Predvolenpsmoodseku"/>
    <w:uiPriority w:val="22"/>
    <w:qFormat/>
    <w:rsid w:val="00470F91"/>
    <w:rPr>
      <w:b/>
      <w:bCs/>
    </w:rPr>
  </w:style>
  <w:style w:type="table" w:styleId="Mriekatabuky">
    <w:name w:val="Table Grid"/>
    <w:basedOn w:val="Normlnatabuka"/>
    <w:uiPriority w:val="59"/>
    <w:rsid w:val="00470F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AF768A"/>
    <w:pPr>
      <w:tabs>
        <w:tab w:val="center" w:pos="4536"/>
        <w:tab w:val="right" w:pos="9072"/>
      </w:tabs>
    </w:pPr>
  </w:style>
  <w:style w:type="character" w:customStyle="1" w:styleId="KopfzeileZeichen">
    <w:name w:val="Kopfzeile Zeichen"/>
    <w:basedOn w:val="Absatzstandardschriftart"/>
    <w:link w:val="Kopfzeile"/>
    <w:uiPriority w:val="99"/>
    <w:rsid w:val="00AF768A"/>
  </w:style>
  <w:style w:type="paragraph" w:styleId="Fuzeile">
    <w:name w:val="footer"/>
    <w:basedOn w:val="Standard"/>
    <w:link w:val="FuzeileZeichen"/>
    <w:uiPriority w:val="99"/>
    <w:unhideWhenUsed/>
    <w:rsid w:val="00AF768A"/>
    <w:pPr>
      <w:tabs>
        <w:tab w:val="center" w:pos="4536"/>
        <w:tab w:val="right" w:pos="9072"/>
      </w:tabs>
    </w:pPr>
  </w:style>
  <w:style w:type="character" w:customStyle="1" w:styleId="FuzeileZeichen">
    <w:name w:val="Fußzeile Zeichen"/>
    <w:basedOn w:val="Absatzstandardschriftart"/>
    <w:link w:val="Fuzeile"/>
    <w:uiPriority w:val="99"/>
    <w:rsid w:val="00AF768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Sn_mka_programu_Microsoft_Office_PowerPoint1.sldx"/><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Sn_mka_programu_Microsoft_Office_PowerPoint2.sl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4502</TotalTime>
  <Pages>3</Pages>
  <Words>859</Words>
  <Characters>4900</Characters>
  <Application>Microsoft Office Word</Application>
  <DocSecurity>8</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IMPULS ART s.r.o.</Company>
  <LinksUpToDate>false</LinksUpToDate>
  <CharactersWithSpaces>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Vlado Rovniansky</dc:creator>
  <cp:lastModifiedBy>Promeda</cp:lastModifiedBy>
  <cp:revision>10</cp:revision>
  <cp:lastPrinted>2018-11-20T05:29:00Z</cp:lastPrinted>
  <dcterms:created xsi:type="dcterms:W3CDTF">2019-11-26T19:59:00Z</dcterms:created>
  <dcterms:modified xsi:type="dcterms:W3CDTF">2019-12-14T09:17:00Z</dcterms:modified>
</cp:coreProperties>
</file>