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E0" w:rsidRPr="005430FD" w:rsidRDefault="00F362E0" w:rsidP="00F362E0">
      <w:pPr>
        <w:tabs>
          <w:tab w:val="left" w:pos="6804"/>
        </w:tabs>
        <w:rPr>
          <w:rFonts w:ascii="Arial" w:hAnsi="Arial" w:cs="Arial"/>
          <w:b/>
          <w:bCs/>
          <w:color w:val="943634" w:themeColor="accent2" w:themeShade="BF"/>
          <w:sz w:val="22"/>
          <w:szCs w:val="22"/>
          <w:lang w:val="sk-SK"/>
        </w:rPr>
      </w:pPr>
      <w:r w:rsidRPr="005430FD">
        <w:rPr>
          <w:rFonts w:ascii="Arial" w:hAnsi="Arial" w:cs="Arial"/>
          <w:b/>
          <w:color w:val="943634" w:themeColor="accent2" w:themeShade="BF"/>
          <w:sz w:val="22"/>
          <w:szCs w:val="22"/>
          <w:lang w:val="sk-SK"/>
        </w:rPr>
        <w:t>P</w:t>
      </w:r>
      <w:r w:rsidR="00714279">
        <w:rPr>
          <w:rFonts w:ascii="Arial" w:hAnsi="Arial" w:cs="Arial"/>
          <w:b/>
          <w:color w:val="943634" w:themeColor="accent2" w:themeShade="BF"/>
          <w:sz w:val="22"/>
          <w:szCs w:val="22"/>
          <w:lang w:val="sk-SK"/>
        </w:rPr>
        <w:t xml:space="preserve">REČO  POTREBUJEME   FINANCOVANIE  VLD  GARANTOVANÉ  </w:t>
      </w:r>
      <w:r w:rsidRPr="005430FD">
        <w:rPr>
          <w:rFonts w:ascii="Arial" w:hAnsi="Arial" w:cs="Arial"/>
          <w:b/>
          <w:bCs/>
          <w:color w:val="943634" w:themeColor="accent2" w:themeShade="BF"/>
          <w:sz w:val="22"/>
          <w:szCs w:val="22"/>
          <w:lang w:val="sk-SK"/>
        </w:rPr>
        <w:t xml:space="preserve"> </w:t>
      </w:r>
      <w:r w:rsidR="00714279">
        <w:rPr>
          <w:rFonts w:ascii="Arial" w:hAnsi="Arial" w:cs="Arial"/>
          <w:b/>
          <w:bCs/>
          <w:color w:val="943634" w:themeColor="accent2" w:themeShade="BF"/>
          <w:sz w:val="22"/>
          <w:szCs w:val="22"/>
          <w:lang w:val="sk-SK"/>
        </w:rPr>
        <w:t xml:space="preserve">ZÁKONOM </w:t>
      </w:r>
      <w:r w:rsidRPr="005430FD">
        <w:rPr>
          <w:rFonts w:ascii="Arial" w:hAnsi="Arial" w:cs="Arial"/>
          <w:b/>
          <w:bCs/>
          <w:color w:val="943634" w:themeColor="accent2" w:themeShade="BF"/>
          <w:sz w:val="22"/>
          <w:szCs w:val="22"/>
          <w:lang w:val="sk-SK"/>
        </w:rPr>
        <w:t xml:space="preserve"> ?</w:t>
      </w:r>
    </w:p>
    <w:p w:rsidR="00F362E0" w:rsidRPr="00F362E0" w:rsidRDefault="00F362E0" w:rsidP="00F362E0">
      <w:pPr>
        <w:spacing w:line="276" w:lineRule="auto"/>
        <w:rPr>
          <w:rFonts w:ascii="Arial" w:hAnsi="Arial" w:cs="Arial"/>
          <w:bCs/>
          <w:sz w:val="22"/>
          <w:szCs w:val="22"/>
          <w:lang w:val="sk-SK"/>
        </w:rPr>
      </w:pPr>
    </w:p>
    <w:p w:rsidR="005430FD"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 xml:space="preserve">Budúcnosť všeobecného lekárstva, ako aj funkčnosť systému zdravotnej starostlivosti na Slovensku je neistá a predvídateľné financovanie je podmienkou pevného základu systému zdravotnej starostlivosti. </w:t>
      </w:r>
    </w:p>
    <w:p w:rsidR="005430FD" w:rsidRDefault="005430FD" w:rsidP="00F362E0">
      <w:pP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nak povedané, žiadna koncepcia nemôže fungovať bez zabezpečenia jej financovania a akékoľvek kompetencie VLD musia byť pre funkčnú štruktúru systému zdravotnej starostlivosti reálne vykonateľné.</w:t>
      </w:r>
    </w:p>
    <w:p w:rsidR="00F362E0" w:rsidRPr="00F362E0" w:rsidRDefault="00F362E0" w:rsidP="00F362E0">
      <w:pPr>
        <w:pBdr>
          <w:bottom w:val="single" w:sz="6" w:space="1" w:color="auto"/>
        </w:pBdr>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V ZVLD SR o.z. pracujeme s faktami. Pre adekvátne uvedenie do problematiky a odôvodnenie navrhovaného riešenia úhradového mechanizmu pre VLD, uvádzame niektoré z relevantných, všeobecne akceptovaných zdrojov informácií:</w:t>
      </w:r>
    </w:p>
    <w:p w:rsidR="00F362E0" w:rsidRPr="00F362E0" w:rsidRDefault="00F362E0" w:rsidP="00F362E0">
      <w:pPr>
        <w:spacing w:line="276" w:lineRule="auto"/>
        <w:rPr>
          <w:rFonts w:ascii="Arial" w:hAnsi="Arial" w:cs="Arial"/>
          <w:bCs/>
          <w:sz w:val="22"/>
          <w:szCs w:val="22"/>
          <w:lang w:val="sk-SK"/>
        </w:rPr>
      </w:pPr>
    </w:p>
    <w:p w:rsidR="00F362E0" w:rsidRPr="00F362E0" w:rsidRDefault="00F362E0" w:rsidP="00F362E0">
      <w:pPr>
        <w:numPr>
          <w:ilvl w:val="0"/>
          <w:numId w:val="27"/>
        </w:numPr>
        <w:spacing w:after="200"/>
        <w:rPr>
          <w:rFonts w:ascii="Arial" w:hAnsi="Arial" w:cs="Arial"/>
          <w:bCs/>
          <w:sz w:val="18"/>
          <w:szCs w:val="18"/>
          <w:lang w:val="sk-SK"/>
        </w:rPr>
      </w:pPr>
      <w:r w:rsidRPr="00F362E0">
        <w:rPr>
          <w:rFonts w:ascii="Arial" w:hAnsi="Arial" w:cs="Arial"/>
          <w:bCs/>
          <w:sz w:val="18"/>
          <w:szCs w:val="18"/>
          <w:lang w:val="sk-SK"/>
        </w:rPr>
        <w:t xml:space="preserve">OECD/European Observatory on Health Systems and Policies (2017), </w:t>
      </w:r>
      <w:r w:rsidRPr="00F362E0">
        <w:rPr>
          <w:rFonts w:ascii="Arial" w:hAnsi="Arial" w:cs="Arial"/>
          <w:bCs/>
          <w:i/>
          <w:iCs/>
          <w:sz w:val="18"/>
          <w:szCs w:val="18"/>
          <w:lang w:val="sk-SK"/>
        </w:rPr>
        <w:t xml:space="preserve">Slovensko: Zdravotný Profil Krajiny 2017, </w:t>
      </w:r>
      <w:r w:rsidRPr="00F362E0">
        <w:rPr>
          <w:rFonts w:ascii="Arial" w:hAnsi="Arial" w:cs="Arial"/>
          <w:bCs/>
          <w:sz w:val="18"/>
          <w:szCs w:val="18"/>
          <w:lang w:val="sk-SK"/>
        </w:rPr>
        <w:t>State of Health in the EU, OECD Publishing, Paris/European Observatory on Health Systems and Policies, Brussels.http://dx.doi.org/10.1787/9789264285408-sk</w:t>
      </w:r>
    </w:p>
    <w:p w:rsidR="00F362E0" w:rsidRPr="00F362E0" w:rsidRDefault="00F362E0" w:rsidP="00F362E0">
      <w:pPr>
        <w:numPr>
          <w:ilvl w:val="0"/>
          <w:numId w:val="27"/>
        </w:numPr>
        <w:spacing w:after="200"/>
        <w:rPr>
          <w:rFonts w:ascii="Arial" w:hAnsi="Arial" w:cs="Arial"/>
          <w:bCs/>
          <w:sz w:val="18"/>
          <w:szCs w:val="18"/>
          <w:lang w:val="sk-SK"/>
        </w:rPr>
      </w:pPr>
      <w:r w:rsidRPr="00F362E0">
        <w:rPr>
          <w:rFonts w:ascii="Arial" w:hAnsi="Arial" w:cs="Arial"/>
          <w:bCs/>
          <w:sz w:val="18"/>
          <w:szCs w:val="18"/>
          <w:lang w:val="sk-SK"/>
        </w:rPr>
        <w:t>Expanding GP competencies in the Slovak Republic. Policy routes and recommendations, Th World Bank, Washington D.C, June 2018</w:t>
      </w:r>
    </w:p>
    <w:p w:rsidR="00F362E0" w:rsidRPr="00F362E0" w:rsidRDefault="00F362E0" w:rsidP="00F362E0">
      <w:pPr>
        <w:numPr>
          <w:ilvl w:val="0"/>
          <w:numId w:val="27"/>
        </w:numPr>
        <w:spacing w:after="200"/>
        <w:rPr>
          <w:rFonts w:ascii="Arial" w:hAnsi="Arial" w:cs="Arial"/>
          <w:bCs/>
          <w:sz w:val="18"/>
          <w:szCs w:val="18"/>
          <w:lang w:val="sk-SK"/>
        </w:rPr>
      </w:pPr>
      <w:r w:rsidRPr="00F362E0">
        <w:rPr>
          <w:rFonts w:ascii="Arial" w:hAnsi="Arial" w:cs="Arial"/>
          <w:bCs/>
          <w:sz w:val="18"/>
          <w:szCs w:val="18"/>
          <w:lang w:val="sk-SK"/>
        </w:rPr>
        <w:t>Kotrbová K.a kol., Veková štruktúra lekárov na Slovensku, VEEVENT, 2019</w:t>
      </w:r>
    </w:p>
    <w:p w:rsidR="00F362E0" w:rsidRPr="00F362E0" w:rsidRDefault="00F362E0" w:rsidP="00F362E0">
      <w:pPr>
        <w:numPr>
          <w:ilvl w:val="0"/>
          <w:numId w:val="27"/>
        </w:numPr>
        <w:spacing w:after="200"/>
        <w:rPr>
          <w:rFonts w:ascii="Arial" w:hAnsi="Arial" w:cs="Arial"/>
          <w:bCs/>
          <w:sz w:val="18"/>
          <w:szCs w:val="18"/>
          <w:lang w:val="sk-SK"/>
        </w:rPr>
      </w:pPr>
      <w:r w:rsidRPr="00F362E0">
        <w:rPr>
          <w:rFonts w:ascii="Arial" w:hAnsi="Arial" w:cs="Arial"/>
          <w:bCs/>
          <w:sz w:val="18"/>
          <w:szCs w:val="18"/>
          <w:lang w:val="sk-SK"/>
        </w:rPr>
        <w:t>Cernenko et al. (2016), Revízia výdavkov na zdravotníctvo:  Záverečná správa  http://www.finance.gov.sk/ Default. aspx? CatID=11158</w:t>
      </w:r>
    </w:p>
    <w:p w:rsidR="00F362E0" w:rsidRPr="00F362E0" w:rsidRDefault="00F362E0" w:rsidP="00F362E0">
      <w:pPr>
        <w:numPr>
          <w:ilvl w:val="0"/>
          <w:numId w:val="27"/>
        </w:numPr>
        <w:spacing w:after="200"/>
        <w:rPr>
          <w:rFonts w:ascii="Arial" w:hAnsi="Arial" w:cs="Arial"/>
          <w:bCs/>
          <w:sz w:val="18"/>
          <w:szCs w:val="18"/>
          <w:lang w:val="sk-SK"/>
        </w:rPr>
      </w:pPr>
      <w:r w:rsidRPr="00F362E0">
        <w:rPr>
          <w:rFonts w:ascii="Arial" w:hAnsi="Arial" w:cs="Arial"/>
          <w:bCs/>
          <w:sz w:val="18"/>
          <w:szCs w:val="18"/>
          <w:lang w:val="sk-SK"/>
        </w:rPr>
        <w:t>Holčík J.. Kaňová P., Prudil L., systém péče o zdraví  zdravotnictví, Národní centum ošetřovatelství a nelékařských zdravotnických odboru , 2015</w:t>
      </w:r>
    </w:p>
    <w:p w:rsidR="00F362E0" w:rsidRDefault="00F362E0" w:rsidP="00F362E0">
      <w:pPr>
        <w:rPr>
          <w:rFonts w:ascii="Arial" w:hAnsi="Arial" w:cs="Arial"/>
          <w:b/>
          <w:bCs/>
          <w:lang w:val="sk-SK"/>
        </w:rPr>
      </w:pPr>
    </w:p>
    <w:p w:rsidR="00F362E0" w:rsidRPr="00F362E0" w:rsidRDefault="00F362E0" w:rsidP="00F362E0">
      <w:pPr>
        <w:rPr>
          <w:rFonts w:ascii="Arial" w:hAnsi="Arial" w:cs="Arial"/>
          <w:b/>
          <w:bCs/>
          <w:sz w:val="22"/>
          <w:szCs w:val="22"/>
          <w:lang w:val="sk-SK"/>
        </w:rPr>
      </w:pPr>
      <w:r w:rsidRPr="00F362E0">
        <w:rPr>
          <w:rFonts w:ascii="Arial" w:hAnsi="Arial" w:cs="Arial"/>
          <w:b/>
          <w:bCs/>
          <w:sz w:val="22"/>
          <w:szCs w:val="22"/>
          <w:lang w:val="sk-SK"/>
        </w:rPr>
        <w:t>Slovenská republika vynakladá na zdravotníctvo menej ako väčšina ostatných krajín EÚ:</w:t>
      </w:r>
    </w:p>
    <w:p w:rsidR="00F362E0" w:rsidRPr="00F362E0" w:rsidRDefault="00F362E0" w:rsidP="00F362E0">
      <w:pPr>
        <w:rPr>
          <w:rFonts w:ascii="Arial" w:hAnsi="Arial" w:cs="Arial"/>
          <w:b/>
          <w:bCs/>
          <w:lang w:val="sk-SK"/>
        </w:rPr>
      </w:pPr>
    </w:p>
    <w:p w:rsidR="00F362E0" w:rsidRPr="00F362E0" w:rsidRDefault="00F362E0" w:rsidP="00F362E0">
      <w:pPr>
        <w:rPr>
          <w:rFonts w:ascii="Arial" w:hAnsi="Arial" w:cs="Arial"/>
          <w:bCs/>
          <w:lang w:val="sk-SK"/>
        </w:rPr>
      </w:pPr>
      <w:r w:rsidRPr="00F362E0">
        <w:rPr>
          <w:rFonts w:ascii="Arial" w:hAnsi="Arial" w:cs="Arial"/>
          <w:bCs/>
          <w:noProof/>
          <w:lang w:val="sk-SK" w:eastAsia="sk-SK"/>
        </w:rPr>
        <w:drawing>
          <wp:inline distT="0" distB="0" distL="0" distR="0">
            <wp:extent cx="5760720" cy="3194304"/>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2E0" w:rsidRPr="00F362E0" w:rsidRDefault="00F362E0" w:rsidP="00F362E0">
      <w:pPr>
        <w:rPr>
          <w:rFonts w:ascii="Arial" w:hAnsi="Arial" w:cs="Arial"/>
          <w:bCs/>
          <w:i/>
          <w:iCs/>
          <w:sz w:val="18"/>
          <w:szCs w:val="18"/>
          <w:lang w:val="sk-SK"/>
        </w:rPr>
      </w:pPr>
      <w:r w:rsidRPr="00F362E0">
        <w:rPr>
          <w:rFonts w:ascii="Arial" w:hAnsi="Arial" w:cs="Arial"/>
          <w:bCs/>
          <w:sz w:val="18"/>
          <w:szCs w:val="18"/>
          <w:lang w:val="sk-SK"/>
        </w:rPr>
        <w:t xml:space="preserve">Zdroj: OECD/European Observatory on Health Systems and Policies (2017), </w:t>
      </w:r>
      <w:r w:rsidRPr="00F362E0">
        <w:rPr>
          <w:rFonts w:ascii="Arial" w:hAnsi="Arial" w:cs="Arial"/>
          <w:bCs/>
          <w:i/>
          <w:iCs/>
          <w:sz w:val="18"/>
          <w:szCs w:val="18"/>
          <w:lang w:val="sk-SK"/>
        </w:rPr>
        <w:t>Slovensko: Zdravotný Profil Krajiny 2017</w:t>
      </w:r>
    </w:p>
    <w:p w:rsidR="00F362E0" w:rsidRPr="00F362E0" w:rsidRDefault="00F362E0" w:rsidP="00F362E0">
      <w:pPr>
        <w:spacing w:line="276" w:lineRule="auto"/>
        <w:rPr>
          <w:rFonts w:ascii="Arial" w:hAnsi="Arial" w:cs="Arial"/>
          <w:bCs/>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lastRenderedPageBreak/>
        <w:t>Z porovnania vynakladaných zdrojov na zdravotnú starostlivosť je zrejmé, že pracujeme v „inom“ prostredí, ako je priemer EÚ a rezervy v porovnaní s vyspelejšími krajinami EU existujú. Nemenej významný je fakt, že kardiovaskulárne ochorenia a rakovina zodpovedá za bezmála 3/4 úmrtí. Je možné významne ovplyvniť výsledok starostlivosti o pacienta systémovou zmenou postoja k primárnej starostlivosti?</w:t>
      </w:r>
    </w:p>
    <w:p w:rsidR="00F362E0" w:rsidRPr="00F362E0" w:rsidRDefault="00F362E0" w:rsidP="00F362E0">
      <w:pPr>
        <w:pBdr>
          <w:bottom w:val="single" w:sz="6" w:space="1" w:color="auto"/>
        </w:pBdr>
        <w:rPr>
          <w:rFonts w:ascii="Arial" w:hAnsi="Arial" w:cs="Arial"/>
          <w:bCs/>
          <w:sz w:val="22"/>
          <w:szCs w:val="22"/>
          <w:lang w:val="sk-SK"/>
        </w:rPr>
      </w:pPr>
    </w:p>
    <w:p w:rsidR="00F362E0" w:rsidRPr="00F362E0" w:rsidRDefault="00F362E0" w:rsidP="00F362E0">
      <w:pPr>
        <w:rPr>
          <w:rFonts w:ascii="Arial" w:hAnsi="Arial" w:cs="Arial"/>
          <w:bCs/>
          <w:sz w:val="22"/>
          <w:szCs w:val="22"/>
          <w:lang w:val="sk-SK"/>
        </w:rPr>
      </w:pPr>
    </w:p>
    <w:p w:rsidR="00F362E0" w:rsidRDefault="00F362E0" w:rsidP="00F362E0">
      <w:pPr>
        <w:rPr>
          <w:rFonts w:ascii="Arial" w:hAnsi="Arial" w:cs="Arial"/>
          <w:bCs/>
          <w:sz w:val="22"/>
          <w:szCs w:val="22"/>
          <w:lang w:val="sk-SK"/>
        </w:rPr>
      </w:pPr>
    </w:p>
    <w:p w:rsidR="00F362E0" w:rsidRDefault="00F362E0" w:rsidP="00F362E0">
      <w:pPr>
        <w:rPr>
          <w:rFonts w:ascii="Arial" w:hAnsi="Arial" w:cs="Arial"/>
          <w:bCs/>
          <w:sz w:val="22"/>
          <w:szCs w:val="22"/>
          <w:lang w:val="sk-SK"/>
        </w:rPr>
      </w:pPr>
      <w:r w:rsidRPr="00F362E0">
        <w:rPr>
          <w:rFonts w:ascii="Arial" w:hAnsi="Arial" w:cs="Arial"/>
          <w:bCs/>
          <w:sz w:val="22"/>
          <w:szCs w:val="22"/>
          <w:lang w:val="sk-SK"/>
        </w:rPr>
        <w:t>Slovenská republika má priemerný počet lekárov, ale malý počet sestier:</w:t>
      </w:r>
    </w:p>
    <w:p w:rsidR="00F362E0" w:rsidRPr="00F362E0" w:rsidRDefault="00F362E0" w:rsidP="00F362E0">
      <w:pPr>
        <w:rPr>
          <w:rFonts w:ascii="Arial" w:hAnsi="Arial" w:cs="Arial"/>
          <w:bCs/>
          <w:sz w:val="22"/>
          <w:szCs w:val="22"/>
          <w:lang w:val="sk-SK"/>
        </w:rPr>
      </w:pPr>
    </w:p>
    <w:p w:rsidR="00F362E0" w:rsidRPr="00F362E0" w:rsidRDefault="00213568" w:rsidP="00F362E0">
      <w:pPr>
        <w:rPr>
          <w:rFonts w:ascii="Arial" w:hAnsi="Arial" w:cs="Arial"/>
          <w:bCs/>
          <w:lang w:val="sk-SK"/>
        </w:rPr>
      </w:pPr>
      <w:r>
        <w:rPr>
          <w:rFonts w:ascii="Arial" w:hAnsi="Arial" w:cs="Arial"/>
          <w:bCs/>
          <w:noProof/>
          <w:lang w:val="sk-SK" w:eastAsia="sk-SK"/>
        </w:rPr>
        <w:pict>
          <v:oval id="_x0000_s2078" style="position:absolute;margin-left:162.95pt;margin-top:193.35pt;width:31.2pt;height:35.05pt;z-index:251665408" filled="f" strokecolor="red" strokeweight="3pt"/>
        </w:pict>
      </w:r>
      <w:r w:rsidR="00F362E0" w:rsidRPr="00F362E0">
        <w:rPr>
          <w:rFonts w:ascii="Arial" w:hAnsi="Arial" w:cs="Arial"/>
          <w:bCs/>
          <w:noProof/>
          <w:lang w:val="sk-SK" w:eastAsia="sk-SK"/>
        </w:rPr>
        <w:drawing>
          <wp:inline distT="0" distB="0" distL="0" distR="0">
            <wp:extent cx="5760720" cy="4128536"/>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62E0" w:rsidRPr="00F362E0" w:rsidRDefault="00F362E0" w:rsidP="00F362E0">
      <w:pPr>
        <w:rPr>
          <w:rFonts w:ascii="Arial" w:hAnsi="Arial" w:cs="Arial"/>
          <w:bCs/>
          <w:i/>
          <w:iCs/>
          <w:sz w:val="18"/>
          <w:szCs w:val="18"/>
          <w:lang w:val="sk-SK"/>
        </w:rPr>
      </w:pPr>
      <w:r w:rsidRPr="00F362E0">
        <w:rPr>
          <w:rFonts w:ascii="Arial" w:hAnsi="Arial" w:cs="Arial"/>
          <w:bCs/>
          <w:sz w:val="18"/>
          <w:szCs w:val="18"/>
          <w:lang w:val="sk-SK"/>
        </w:rPr>
        <w:t xml:space="preserve">Zdroj: OECD/European Observatory on Health Systems and Policies (2017), </w:t>
      </w:r>
      <w:r w:rsidRPr="00F362E0">
        <w:rPr>
          <w:rFonts w:ascii="Arial" w:hAnsi="Arial" w:cs="Arial"/>
          <w:bCs/>
          <w:i/>
          <w:iCs/>
          <w:sz w:val="18"/>
          <w:szCs w:val="18"/>
          <w:lang w:val="sk-SK"/>
        </w:rPr>
        <w:t>Slovensko: Zdravotný Profil Krajiny 2017</w:t>
      </w:r>
    </w:p>
    <w:p w:rsidR="00F362E0" w:rsidRDefault="00F362E0" w:rsidP="00F362E0">
      <w:pPr>
        <w:spacing w:line="276" w:lineRule="auto"/>
        <w:rPr>
          <w:rFonts w:ascii="Arial" w:hAnsi="Arial" w:cs="Arial"/>
          <w:bCs/>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 xml:space="preserve">Ľudské zdroje sú zjavne a prirodzene obmedzené, sme pod priemerom EÚ a Slovensko bude jednou z krajín EÚ najvýznamnejšie postihnutých demografickou zmenou v súvislosti so skokovým zostarnutím populácie narodenej v 70-tych rokoch minulého storočia. Máme dôvod sa zamyslieť nad systémovými opatreniami v ZS? </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p>
    <w:p w:rsidR="00F362E0" w:rsidRDefault="00F362E0" w:rsidP="00F362E0">
      <w:pP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Graf 1. Vysoká návštevnosť centrálneho príjmu – dostupnosť  VLD?</w:t>
      </w:r>
      <w:r w:rsidRPr="00F362E0">
        <w:rPr>
          <w:rFonts w:ascii="Arial" w:hAnsi="Arial" w:cs="Arial"/>
          <w:bCs/>
          <w:sz w:val="22"/>
          <w:szCs w:val="22"/>
          <w:lang w:val="sk-SK"/>
        </w:rPr>
        <w:br/>
        <w:t>Graf 2.</w:t>
      </w:r>
      <w:r w:rsidRPr="00F362E0">
        <w:rPr>
          <w:rFonts w:ascii="Arial" w:hAnsi="Arial" w:cs="Arial"/>
          <w:b/>
          <w:bCs/>
          <w:sz w:val="22"/>
          <w:szCs w:val="22"/>
          <w:lang w:val="sk-SK"/>
        </w:rPr>
        <w:t xml:space="preserve"> </w:t>
      </w:r>
      <w:r w:rsidRPr="00F362E0">
        <w:rPr>
          <w:rFonts w:ascii="Arial" w:hAnsi="Arial" w:cs="Arial"/>
          <w:bCs/>
          <w:sz w:val="22"/>
          <w:szCs w:val="22"/>
          <w:lang w:val="sk-SK"/>
        </w:rPr>
        <w:t>Profesijná štruktúra lekárov na 1.000 obyvateľov (2007) a počet návštev u lekára</w:t>
      </w:r>
    </w:p>
    <w:p w:rsidR="00F362E0" w:rsidRDefault="00F362E0" w:rsidP="00F362E0">
      <w:pPr>
        <w:rPr>
          <w:rFonts w:ascii="Arial" w:hAnsi="Arial" w:cs="Arial"/>
          <w:bCs/>
          <w:sz w:val="18"/>
          <w:szCs w:val="18"/>
          <w:lang w:val="sk-SK"/>
        </w:rPr>
      </w:pPr>
    </w:p>
    <w:p w:rsidR="00F362E0" w:rsidRDefault="00F362E0" w:rsidP="00F362E0">
      <w:pPr>
        <w:rPr>
          <w:rFonts w:ascii="Arial" w:hAnsi="Arial" w:cs="Arial"/>
          <w:bCs/>
          <w:sz w:val="18"/>
          <w:szCs w:val="18"/>
          <w:lang w:val="sk-SK"/>
        </w:rPr>
      </w:pPr>
    </w:p>
    <w:p w:rsidR="00F362E0" w:rsidRPr="00F362E0" w:rsidRDefault="00F362E0" w:rsidP="00F362E0">
      <w:pPr>
        <w:rPr>
          <w:rFonts w:ascii="Arial" w:hAnsi="Arial" w:cs="Arial"/>
          <w:bCs/>
          <w:i/>
          <w:iCs/>
          <w:sz w:val="18"/>
          <w:szCs w:val="18"/>
          <w:lang w:val="sk-SK"/>
        </w:rPr>
      </w:pPr>
      <w:r w:rsidRPr="00F362E0">
        <w:rPr>
          <w:rFonts w:ascii="Arial" w:hAnsi="Arial" w:cs="Arial"/>
          <w:bCs/>
          <w:sz w:val="18"/>
          <w:szCs w:val="18"/>
          <w:lang w:val="sk-SK"/>
        </w:rPr>
        <w:t xml:space="preserve">Zdroj: OECD/European Observatory on Health Systems and Policies (2017), </w:t>
      </w:r>
      <w:r w:rsidRPr="00F362E0">
        <w:rPr>
          <w:rFonts w:ascii="Arial" w:hAnsi="Arial" w:cs="Arial"/>
          <w:bCs/>
          <w:i/>
          <w:iCs/>
          <w:sz w:val="18"/>
          <w:szCs w:val="18"/>
          <w:lang w:val="sk-SK"/>
        </w:rPr>
        <w:t>Slovensko: Zdravotný Profil Krajiny 2017</w:t>
      </w:r>
    </w:p>
    <w:p w:rsidR="00F362E0" w:rsidRPr="00F362E0" w:rsidRDefault="00F362E0" w:rsidP="00F362E0">
      <w:pPr>
        <w:rPr>
          <w:rFonts w:ascii="Arial" w:hAnsi="Arial" w:cs="Arial"/>
          <w:bCs/>
          <w:i/>
          <w:iCs/>
          <w:sz w:val="18"/>
          <w:szCs w:val="18"/>
          <w:lang w:val="sk-SK"/>
        </w:rPr>
      </w:pPr>
      <w:r w:rsidRPr="00F362E0">
        <w:rPr>
          <w:rFonts w:ascii="Arial" w:hAnsi="Arial" w:cs="Arial"/>
          <w:bCs/>
          <w:iCs/>
          <w:sz w:val="18"/>
          <w:szCs w:val="18"/>
          <w:lang w:val="sk-SK"/>
        </w:rPr>
        <w:t xml:space="preserve">Zdroj: </w:t>
      </w:r>
      <w:r w:rsidRPr="00F362E0">
        <w:rPr>
          <w:rFonts w:ascii="Arial" w:hAnsi="Arial" w:cs="Arial"/>
          <w:bCs/>
          <w:sz w:val="18"/>
          <w:szCs w:val="18"/>
          <w:lang w:val="sk-SK"/>
        </w:rPr>
        <w:t>Cernenko et al. (2016), Revízia výdavkov na zdravotníctvo:  Záverečná správa  http://www.finance.gov.sk/ Default. aspx? CatID=11158</w:t>
      </w:r>
    </w:p>
    <w:p w:rsidR="00F362E0" w:rsidRPr="00F362E0" w:rsidRDefault="00F362E0" w:rsidP="00F362E0">
      <w:pPr>
        <w:spacing w:line="276" w:lineRule="auto"/>
        <w:rPr>
          <w:rFonts w:ascii="Arial" w:hAnsi="Arial" w:cs="Arial"/>
          <w:bCs/>
          <w:lang w:val="sk-SK"/>
        </w:rPr>
      </w:pPr>
      <w:r w:rsidRPr="00F362E0">
        <w:rPr>
          <w:rFonts w:ascii="Arial" w:hAnsi="Arial" w:cs="Arial"/>
          <w:bCs/>
          <w:noProof/>
          <w:lang w:val="sk-SK" w:eastAsia="sk-SK"/>
        </w:rPr>
        <w:drawing>
          <wp:inline distT="0" distB="0" distL="0" distR="0">
            <wp:extent cx="5760720" cy="256641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62E0" w:rsidRPr="00F362E0" w:rsidRDefault="00F362E0" w:rsidP="00F362E0">
      <w:pPr>
        <w:rPr>
          <w:rFonts w:ascii="Arial" w:hAnsi="Arial" w:cs="Arial"/>
          <w:bCs/>
          <w:lang w:val="sk-SK"/>
        </w:rPr>
      </w:pPr>
      <w:r w:rsidRPr="00F362E0">
        <w:rPr>
          <w:rFonts w:ascii="Arial" w:hAnsi="Arial" w:cs="Arial"/>
          <w:bCs/>
          <w:noProof/>
          <w:lang w:val="sk-SK" w:eastAsia="sk-SK"/>
        </w:rPr>
        <w:drawing>
          <wp:inline distT="0" distB="0" distL="0" distR="0">
            <wp:extent cx="5760720" cy="2025378"/>
            <wp:effectExtent l="19050" t="0" r="0" b="0"/>
            <wp:docPr id="6" name="Obrázok 6" descr="IFP.png"/>
            <wp:cNvGraphicFramePr/>
            <a:graphic xmlns:a="http://schemas.openxmlformats.org/drawingml/2006/main">
              <a:graphicData uri="http://schemas.openxmlformats.org/drawingml/2006/picture">
                <pic:pic xmlns:pic="http://schemas.openxmlformats.org/drawingml/2006/picture">
                  <pic:nvPicPr>
                    <pic:cNvPr id="4" name="Zástupný symbol obsahu 3" descr="IFP.png"/>
                    <pic:cNvPicPr>
                      <a:picLocks noGrp="1"/>
                    </pic:cNvPicPr>
                  </pic:nvPicPr>
                  <pic:blipFill>
                    <a:blip r:embed="rId11"/>
                    <a:stretch>
                      <a:fillRect/>
                    </a:stretch>
                  </pic:blipFill>
                  <pic:spPr>
                    <a:xfrm>
                      <a:off x="0" y="0"/>
                      <a:ext cx="5760720" cy="2025378"/>
                    </a:xfrm>
                    <a:prstGeom prst="rect">
                      <a:avLst/>
                    </a:prstGeom>
                  </pic:spPr>
                </pic:pic>
              </a:graphicData>
            </a:graphic>
          </wp:inline>
        </w:drawing>
      </w:r>
    </w:p>
    <w:p w:rsidR="00F362E0" w:rsidRDefault="00F362E0" w:rsidP="00F362E0">
      <w:pP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 xml:space="preserve">Je vzťah medzi vysokou návštevnosťou lekára pacientom, nedostatkom VLD a prebytkom špecialistov dostatočne presvedčivý? Slovensko na poslednom mieste? Alebo to spolu nesúvisí? </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sz w:val="22"/>
          <w:szCs w:val="22"/>
          <w:lang w:val="sk-SK"/>
        </w:rPr>
      </w:pPr>
    </w:p>
    <w:p w:rsidR="00F362E0" w:rsidRDefault="00F362E0" w:rsidP="00F362E0">
      <w:pPr>
        <w:spacing w:line="276" w:lineRule="auto"/>
        <w:rPr>
          <w:rFonts w:ascii="Arial" w:hAnsi="Arial" w:cs="Arial"/>
          <w:b/>
          <w:bCs/>
          <w:sz w:val="22"/>
          <w:szCs w:val="22"/>
          <w:lang w:val="sk-SK"/>
        </w:rPr>
      </w:pPr>
    </w:p>
    <w:p w:rsidR="00F362E0" w:rsidRPr="00F362E0" w:rsidRDefault="00F362E0" w:rsidP="00F362E0">
      <w:pPr>
        <w:spacing w:line="276" w:lineRule="auto"/>
        <w:rPr>
          <w:rFonts w:ascii="Arial" w:hAnsi="Arial" w:cs="Arial"/>
          <w:b/>
          <w:bCs/>
          <w:sz w:val="22"/>
          <w:szCs w:val="22"/>
          <w:lang w:val="sk-SK"/>
        </w:rPr>
      </w:pPr>
      <w:r w:rsidRPr="00F362E0">
        <w:rPr>
          <w:rFonts w:ascii="Arial" w:hAnsi="Arial" w:cs="Arial"/>
          <w:b/>
          <w:bCs/>
          <w:sz w:val="22"/>
          <w:szCs w:val="22"/>
          <w:lang w:val="sk-SK"/>
        </w:rPr>
        <w:t>Miera hospitalizácií podľa veku a pohlavia na 1000 obyvateľov:</w:t>
      </w:r>
    </w:p>
    <w:p w:rsidR="00F362E0" w:rsidRPr="00F362E0" w:rsidRDefault="00F362E0" w:rsidP="00F362E0">
      <w:pPr>
        <w:spacing w:line="276" w:lineRule="auto"/>
        <w:rPr>
          <w:rFonts w:ascii="Arial" w:hAnsi="Arial" w:cs="Arial"/>
          <w:bCs/>
          <w:lang w:val="sk-SK"/>
        </w:rPr>
      </w:pPr>
      <w:r w:rsidRPr="00F362E0">
        <w:rPr>
          <w:rFonts w:ascii="Arial" w:hAnsi="Arial" w:cs="Arial"/>
          <w:bCs/>
          <w:noProof/>
          <w:lang w:val="sk-SK" w:eastAsia="sk-SK"/>
        </w:rPr>
        <w:drawing>
          <wp:inline distT="0" distB="0" distL="0" distR="0">
            <wp:extent cx="5760720" cy="1900437"/>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62E0" w:rsidRPr="00F362E0" w:rsidRDefault="00F362E0" w:rsidP="00F362E0">
      <w:pPr>
        <w:rPr>
          <w:rFonts w:ascii="Arial" w:hAnsi="Arial" w:cs="Arial"/>
          <w:bCs/>
          <w:i/>
          <w:iCs/>
          <w:sz w:val="18"/>
          <w:szCs w:val="18"/>
          <w:lang w:val="sk-SK"/>
        </w:rPr>
      </w:pPr>
      <w:r w:rsidRPr="00F362E0">
        <w:rPr>
          <w:rFonts w:ascii="Arial" w:hAnsi="Arial" w:cs="Arial"/>
          <w:bCs/>
          <w:sz w:val="18"/>
          <w:szCs w:val="18"/>
          <w:lang w:val="sk-SK"/>
        </w:rPr>
        <w:t xml:space="preserve">Zdroj: OECD/European Observatory on Health Systems and Policies (2017), </w:t>
      </w:r>
      <w:r w:rsidRPr="00F362E0">
        <w:rPr>
          <w:rFonts w:ascii="Arial" w:hAnsi="Arial" w:cs="Arial"/>
          <w:bCs/>
          <w:i/>
          <w:iCs/>
          <w:sz w:val="18"/>
          <w:szCs w:val="18"/>
          <w:lang w:val="sk-SK"/>
        </w:rPr>
        <w:t>Slovensko: Zdravotný Profil Krajiny 2017</w:t>
      </w:r>
    </w:p>
    <w:p w:rsidR="00F362E0" w:rsidRDefault="00F362E0" w:rsidP="00F362E0">
      <w:pPr>
        <w:rPr>
          <w:rFonts w:ascii="Arial" w:hAnsi="Arial" w:cs="Arial"/>
          <w:b/>
          <w:bCs/>
          <w:sz w:val="22"/>
          <w:szCs w:val="22"/>
          <w:lang w:val="sk-SK"/>
        </w:rPr>
      </w:pPr>
    </w:p>
    <w:p w:rsidR="00F362E0" w:rsidRDefault="00F362E0" w:rsidP="00F362E0">
      <w:pPr>
        <w:rPr>
          <w:rFonts w:ascii="Arial" w:hAnsi="Arial" w:cs="Arial"/>
          <w:b/>
          <w:bCs/>
          <w:sz w:val="22"/>
          <w:szCs w:val="22"/>
          <w:lang w:val="sk-SK"/>
        </w:rPr>
      </w:pPr>
    </w:p>
    <w:p w:rsidR="00F362E0" w:rsidRPr="00F362E0" w:rsidRDefault="00F362E0" w:rsidP="00F362E0">
      <w:pPr>
        <w:rPr>
          <w:rFonts w:ascii="Arial" w:hAnsi="Arial" w:cs="Arial"/>
          <w:b/>
          <w:bCs/>
          <w:sz w:val="22"/>
          <w:szCs w:val="22"/>
          <w:lang w:val="sk-SK"/>
        </w:rPr>
      </w:pPr>
      <w:r w:rsidRPr="00F362E0">
        <w:rPr>
          <w:rFonts w:ascii="Arial" w:hAnsi="Arial" w:cs="Arial"/>
          <w:b/>
          <w:bCs/>
          <w:sz w:val="22"/>
          <w:szCs w:val="22"/>
          <w:lang w:val="sk-SK"/>
        </w:rPr>
        <w:t>Regionálne rozdiely v ľudských zdrojoch na Slovensku existujú:</w:t>
      </w:r>
    </w:p>
    <w:p w:rsidR="00F362E0" w:rsidRPr="00F362E0" w:rsidRDefault="00F362E0" w:rsidP="00F362E0">
      <w:pPr>
        <w:rPr>
          <w:rFonts w:ascii="Arial" w:hAnsi="Arial" w:cs="Arial"/>
          <w:bCs/>
          <w:lang w:val="sk-SK"/>
        </w:rPr>
      </w:pPr>
      <w:r w:rsidRPr="00F362E0">
        <w:rPr>
          <w:rFonts w:ascii="Arial" w:hAnsi="Arial" w:cs="Arial"/>
          <w:bCs/>
          <w:noProof/>
          <w:lang w:val="sk-SK" w:eastAsia="sk-SK"/>
        </w:rPr>
        <w:drawing>
          <wp:inline distT="0" distB="0" distL="0" distR="0">
            <wp:extent cx="5760720" cy="2566416"/>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62E0" w:rsidRPr="00F362E0" w:rsidRDefault="00F362E0" w:rsidP="00F362E0">
      <w:pPr>
        <w:rPr>
          <w:rFonts w:ascii="Arial" w:hAnsi="Arial" w:cs="Arial"/>
          <w:bCs/>
          <w:i/>
          <w:iCs/>
          <w:sz w:val="18"/>
          <w:szCs w:val="18"/>
          <w:lang w:val="sk-SK"/>
        </w:rPr>
      </w:pPr>
      <w:r w:rsidRPr="00F362E0">
        <w:rPr>
          <w:rFonts w:ascii="Arial" w:hAnsi="Arial" w:cs="Arial"/>
          <w:bCs/>
          <w:sz w:val="18"/>
          <w:szCs w:val="18"/>
          <w:lang w:val="sk-SK"/>
        </w:rPr>
        <w:t xml:space="preserve">Zdroj: OECD/European Observatory on Health Systems and Policies (2017), </w:t>
      </w:r>
      <w:r w:rsidRPr="00F362E0">
        <w:rPr>
          <w:rFonts w:ascii="Arial" w:hAnsi="Arial" w:cs="Arial"/>
          <w:bCs/>
          <w:i/>
          <w:iCs/>
          <w:sz w:val="18"/>
          <w:szCs w:val="18"/>
          <w:lang w:val="sk-SK"/>
        </w:rPr>
        <w:t>Slovensko: Zdravotný Profil Krajiny 2017</w:t>
      </w:r>
    </w:p>
    <w:p w:rsidR="00F362E0" w:rsidRDefault="00F362E0" w:rsidP="00F362E0">
      <w:pPr>
        <w:spacing w:line="276" w:lineRule="auto"/>
        <w:rPr>
          <w:rFonts w:ascii="Arial" w:hAnsi="Arial" w:cs="Arial"/>
          <w:bCs/>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 xml:space="preserve">Silnejším sektorom primárnej zdravotnej starostlivosti by sa mohlo predísť častým hospitalizáciám. Je naivné sa domnievať, že na Slovensku nie je možné dosiahnuť porovnateľné počty hospitalizácií pri adekvátnych zmenách v organizácii prvého kontaktu a jeho systémového postavenia v zdravotnej starostlivosti. Je redukcia hospitalizácií pre dekompenzovanú hypertenziu v súčte s hospitalizáciami pre srdcové zlyhanie a cukrovku (prípadne CHOCHP) nedosiahnuteľná?! </w:t>
      </w:r>
    </w:p>
    <w:p w:rsidR="00F362E0" w:rsidRDefault="00F362E0" w:rsidP="00F362E0">
      <w:pPr>
        <w:pBdr>
          <w:bottom w:val="single" w:sz="6" w:space="1" w:color="auto"/>
        </w:pBdr>
        <w:spacing w:line="276" w:lineRule="auto"/>
        <w:rPr>
          <w:rFonts w:ascii="Arial" w:hAnsi="Arial" w:cs="Arial"/>
          <w:bCs/>
          <w:sz w:val="22"/>
          <w:szCs w:val="22"/>
          <w:lang w:val="sk-SK"/>
        </w:rPr>
      </w:pP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
          <w:bCs/>
          <w:color w:val="FF0000"/>
          <w:sz w:val="22"/>
          <w:szCs w:val="22"/>
          <w:lang w:val="sk-SK"/>
        </w:rPr>
      </w:pPr>
    </w:p>
    <w:p w:rsidR="00F362E0" w:rsidRDefault="00F362E0" w:rsidP="00F362E0">
      <w:pPr>
        <w:spacing w:line="276" w:lineRule="auto"/>
        <w:rPr>
          <w:rFonts w:ascii="Arial" w:hAnsi="Arial" w:cs="Arial"/>
          <w:b/>
          <w:bCs/>
          <w:color w:val="FF0000"/>
          <w:sz w:val="22"/>
          <w:szCs w:val="22"/>
          <w:lang w:val="sk-SK"/>
        </w:rPr>
      </w:pPr>
      <w:r w:rsidRPr="00F362E0">
        <w:rPr>
          <w:rFonts w:ascii="Arial" w:hAnsi="Arial" w:cs="Arial"/>
          <w:b/>
          <w:bCs/>
          <w:color w:val="FF0000"/>
          <w:sz w:val="22"/>
          <w:szCs w:val="22"/>
          <w:lang w:val="sk-SK"/>
        </w:rPr>
        <w:t>POZRIME SA FAKTOGRAFICKY  NA AKTUÁLNY STAV NA SLOVENSKU:</w:t>
      </w:r>
    </w:p>
    <w:p w:rsidR="00714279" w:rsidRPr="00F362E0" w:rsidRDefault="00714279" w:rsidP="00F362E0">
      <w:pPr>
        <w:spacing w:line="276" w:lineRule="auto"/>
        <w:rPr>
          <w:rFonts w:ascii="Arial" w:hAnsi="Arial" w:cs="Arial"/>
          <w:b/>
          <w:bCs/>
          <w:color w:val="FF0000"/>
          <w:sz w:val="22"/>
          <w:szCs w:val="22"/>
          <w:lang w:val="sk-SK"/>
        </w:rPr>
      </w:pP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Viac ako 24.000 lekárov, ale nepriaznivý pomer VLD k ŠAS (regionálne 0,1 – 2,0 VLD/tis.p.)</w:t>
      </w:r>
    </w:p>
    <w:p w:rsidR="00F362E0" w:rsidRPr="00F362E0" w:rsidRDefault="00213568" w:rsidP="00F362E0">
      <w:pPr>
        <w:numPr>
          <w:ilvl w:val="0"/>
          <w:numId w:val="28"/>
        </w:numPr>
        <w:spacing w:after="200" w:line="276" w:lineRule="auto"/>
        <w:rPr>
          <w:rFonts w:ascii="Arial" w:hAnsi="Arial" w:cs="Arial"/>
          <w:bCs/>
          <w:sz w:val="22"/>
          <w:szCs w:val="22"/>
          <w:lang w:val="sk-SK"/>
        </w:rPr>
      </w:pPr>
      <w:r>
        <w:rPr>
          <w:rFonts w:ascii="Arial" w:hAnsi="Arial" w:cs="Arial"/>
          <w:bCs/>
          <w:noProof/>
          <w:sz w:val="22"/>
          <w:szCs w:val="22"/>
          <w:lang w:val="sk-SK" w:eastAsia="sk-SK"/>
        </w:rPr>
        <w:pict>
          <v:rect id="_x0000_s2081" style="position:absolute;left:0;text-align:left;margin-left:10.25pt;margin-top:20.4pt;width:446.9pt;height:75.85pt;z-index:-251648000" fillcolor="#f2f2f2 [3052]" strokecolor="red" strokeweight="2.25pt"/>
        </w:pict>
      </w:r>
      <w:r w:rsidR="00F362E0" w:rsidRPr="00F362E0">
        <w:rPr>
          <w:rFonts w:ascii="Arial" w:hAnsi="Arial" w:cs="Arial"/>
          <w:bCs/>
          <w:sz w:val="22"/>
          <w:szCs w:val="22"/>
          <w:lang w:val="sk-SK"/>
        </w:rPr>
        <w:t>Katastrofálny nedostatok sestier</w:t>
      </w: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Katastrofálna veková štruktúra VLD: z cca 2.300 VLD je cca 50% nad 60 rokov a cca 25% nad 65 rokov</w:t>
      </w: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Nedostatočná generačná obnova VLD a malý záujem absolventov medicíny o VL (rezidentský program nerieši ďalšie profesijné uplatnenie)</w:t>
      </w: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Výrazný nepomer lekárov v BA (6,8 /tis.p.) a na zvyšku Slovenska  (3,0 /tis.p.) a jeden z najvýraznejších nepomerov v EÚ medzi mestom a vidiekom</w:t>
      </w: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Slabá systémová funkcionalita VLD (kompetencie + kapacita) s vysokým počtom hospitalizácií a ambulantných vyšetrení, vrátane APS </w:t>
      </w:r>
    </w:p>
    <w:p w:rsidR="00F362E0" w:rsidRPr="00F362E0" w:rsidRDefault="00F362E0" w:rsidP="00F362E0">
      <w:pPr>
        <w:numPr>
          <w:ilvl w:val="0"/>
          <w:numId w:val="28"/>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Zlyhávajúca systémová koordinácia VAS – ŠAS – nemocnica (výmenné lístky na vyžiadanie, predpisovanie receptov špecialistov, delegované odbery, „doriešenie“ pacienta po hospitalizácii, domovy sociálnych služieb) </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sz w:val="22"/>
          <w:szCs w:val="22"/>
          <w:lang w:val="sk-SK"/>
        </w:rPr>
      </w:pPr>
    </w:p>
    <w:p w:rsidR="00F362E0" w:rsidRDefault="00F362E0" w:rsidP="00F362E0">
      <w:pPr>
        <w:spacing w:line="276" w:lineRule="auto"/>
        <w:rPr>
          <w:rFonts w:ascii="Arial" w:hAnsi="Arial" w:cs="Arial"/>
          <w:bCs/>
          <w:sz w:val="22"/>
          <w:szCs w:val="22"/>
          <w:lang w:val="sk-SK"/>
        </w:rPr>
      </w:pPr>
      <w:r w:rsidRPr="00F362E0">
        <w:rPr>
          <w:rFonts w:ascii="Arial" w:hAnsi="Arial" w:cs="Arial"/>
          <w:b/>
          <w:bCs/>
          <w:sz w:val="22"/>
          <w:szCs w:val="22"/>
          <w:lang w:val="sk-SK"/>
        </w:rPr>
        <w:t>MYSLÍME SYSTÉMOVO</w:t>
      </w:r>
      <w:r w:rsidRPr="00F362E0">
        <w:rPr>
          <w:rFonts w:ascii="Arial" w:hAnsi="Arial" w:cs="Arial"/>
          <w:bCs/>
          <w:sz w:val="22"/>
          <w:szCs w:val="22"/>
          <w:lang w:val="sk-SK"/>
        </w:rPr>
        <w:t xml:space="preserve"> – neznamená to, že vymýšľame niečo nové! Všetko potrebné pre zmysluplnú zmenu systému ZS na Slovensku je vymyslené! </w:t>
      </w:r>
    </w:p>
    <w:p w:rsidR="00F362E0" w:rsidRPr="00F362E0" w:rsidRDefault="00F362E0" w:rsidP="00F362E0">
      <w:pP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color w:val="008A3E"/>
          <w:sz w:val="22"/>
          <w:szCs w:val="22"/>
          <w:lang w:val="sk-SK"/>
        </w:rPr>
      </w:pPr>
      <w:r w:rsidRPr="00F362E0">
        <w:rPr>
          <w:rFonts w:ascii="Arial" w:hAnsi="Arial" w:cs="Arial"/>
          <w:b/>
          <w:bCs/>
          <w:color w:val="008A3E"/>
          <w:sz w:val="22"/>
          <w:szCs w:val="22"/>
          <w:lang w:val="sk-SK"/>
        </w:rPr>
        <w:t>Zdravotníctvo = subsystém starostlivosti o</w:t>
      </w:r>
      <w:r>
        <w:rPr>
          <w:rFonts w:ascii="Arial" w:hAnsi="Arial" w:cs="Arial"/>
          <w:b/>
          <w:bCs/>
          <w:color w:val="008A3E"/>
          <w:sz w:val="22"/>
          <w:szCs w:val="22"/>
          <w:lang w:val="sk-SK"/>
        </w:rPr>
        <w:t> </w:t>
      </w:r>
      <w:r w:rsidRPr="00F362E0">
        <w:rPr>
          <w:rFonts w:ascii="Arial" w:hAnsi="Arial" w:cs="Arial"/>
          <w:b/>
          <w:bCs/>
          <w:color w:val="008A3E"/>
          <w:sz w:val="22"/>
          <w:szCs w:val="22"/>
          <w:lang w:val="sk-SK"/>
        </w:rPr>
        <w:t>zdravie</w:t>
      </w:r>
    </w:p>
    <w:p w:rsidR="00F362E0" w:rsidRPr="00F362E0" w:rsidRDefault="00F362E0" w:rsidP="00F362E0">
      <w:pPr>
        <w:spacing w:line="276" w:lineRule="auto"/>
        <w:rPr>
          <w:rFonts w:ascii="Arial" w:hAnsi="Arial" w:cs="Arial"/>
          <w:bCs/>
          <w:color w:val="008A3E"/>
          <w:sz w:val="22"/>
          <w:szCs w:val="22"/>
          <w:lang w:val="sk-SK"/>
        </w:rPr>
      </w:pPr>
    </w:p>
    <w:p w:rsidR="00F362E0" w:rsidRPr="00F362E0" w:rsidRDefault="00213568" w:rsidP="00F362E0">
      <w:pPr>
        <w:numPr>
          <w:ilvl w:val="0"/>
          <w:numId w:val="29"/>
        </w:numPr>
        <w:spacing w:after="200" w:line="276" w:lineRule="auto"/>
        <w:rPr>
          <w:rFonts w:ascii="Arial" w:hAnsi="Arial" w:cs="Arial"/>
          <w:b/>
          <w:bCs/>
          <w:sz w:val="22"/>
          <w:szCs w:val="22"/>
          <w:lang w:val="sk-SK"/>
        </w:rPr>
      </w:pPr>
      <w:r>
        <w:rPr>
          <w:rFonts w:ascii="Arial" w:hAnsi="Arial" w:cs="Arial"/>
          <w:b/>
          <w:bCs/>
          <w:noProof/>
          <w:sz w:val="22"/>
          <w:szCs w:val="22"/>
          <w:lang w:val="sk-SK" w:eastAsia="sk-SK"/>
        </w:rPr>
        <w:pict>
          <v:rect id="_x0000_s2082" style="position:absolute;left:0;text-align:left;margin-left:219.05pt;margin-top:21.5pt;width:69.15pt;height:16.8pt;z-index:-251646976" strokecolor="red" strokeweight="1.5pt"/>
        </w:pict>
      </w:r>
      <w:r w:rsidR="00F362E0" w:rsidRPr="00F362E0">
        <w:rPr>
          <w:rFonts w:ascii="Arial" w:hAnsi="Arial" w:cs="Arial"/>
          <w:b/>
          <w:bCs/>
          <w:sz w:val="22"/>
          <w:szCs w:val="22"/>
          <w:lang w:val="sk-SK"/>
        </w:rPr>
        <w:t>Okolie (sub)systému zdravotnej starostlivosti tvorí:</w:t>
      </w:r>
    </w:p>
    <w:p w:rsidR="00F362E0" w:rsidRPr="00F362E0" w:rsidRDefault="00F362E0" w:rsidP="00F362E0">
      <w:pPr>
        <w:numPr>
          <w:ilvl w:val="0"/>
          <w:numId w:val="29"/>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a) verejná správa </w:t>
      </w:r>
      <w:r w:rsidRPr="00F362E0">
        <w:rPr>
          <w:rFonts w:ascii="Arial" w:hAnsi="Arial" w:cs="Arial"/>
          <w:bCs/>
          <w:sz w:val="22"/>
          <w:szCs w:val="22"/>
          <w:lang w:val="sk-SK"/>
        </w:rPr>
        <w:t>(štátne inštitúcie a samosprávy)</w:t>
      </w:r>
    </w:p>
    <w:p w:rsidR="00F362E0" w:rsidRPr="00F362E0" w:rsidRDefault="00F362E0" w:rsidP="00F362E0">
      <w:pPr>
        <w:numPr>
          <w:ilvl w:val="0"/>
          <w:numId w:val="29"/>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b) socioekonomické a kultúrne pomery </w:t>
      </w:r>
      <w:r w:rsidRPr="00F362E0">
        <w:rPr>
          <w:rFonts w:ascii="Arial" w:hAnsi="Arial" w:cs="Arial"/>
          <w:bCs/>
          <w:sz w:val="22"/>
          <w:szCs w:val="22"/>
          <w:lang w:val="sk-SK"/>
        </w:rPr>
        <w:t>(spoločenské hodnoty, právo úroveň bývania, hygiena práce, príjem domácností, výchova v rodine a inštitucionálna výchova)</w:t>
      </w:r>
    </w:p>
    <w:p w:rsidR="00F362E0" w:rsidRPr="00F362E0" w:rsidRDefault="00F362E0" w:rsidP="00F362E0">
      <w:pPr>
        <w:numPr>
          <w:ilvl w:val="0"/>
          <w:numId w:val="29"/>
        </w:numPr>
        <w:spacing w:after="200" w:line="276" w:lineRule="auto"/>
        <w:rPr>
          <w:rFonts w:ascii="Arial" w:hAnsi="Arial" w:cs="Arial"/>
          <w:bCs/>
          <w:color w:val="008A3E"/>
          <w:sz w:val="22"/>
          <w:szCs w:val="22"/>
          <w:lang w:val="sk-SK"/>
        </w:rPr>
      </w:pPr>
      <w:r w:rsidRPr="00F362E0">
        <w:rPr>
          <w:rFonts w:ascii="Arial" w:hAnsi="Arial" w:cs="Arial"/>
          <w:b/>
          <w:bCs/>
          <w:color w:val="008A3E"/>
          <w:sz w:val="22"/>
          <w:szCs w:val="22"/>
          <w:lang w:val="sk-SK"/>
        </w:rPr>
        <w:t xml:space="preserve">SYSTÉM = autoregulácia + spätná väzba </w:t>
      </w:r>
    </w:p>
    <w:p w:rsidR="00F362E0" w:rsidRPr="00F362E0" w:rsidRDefault="00F362E0" w:rsidP="00F362E0">
      <w:pPr>
        <w:numPr>
          <w:ilvl w:val="0"/>
          <w:numId w:val="29"/>
        </w:numPr>
        <w:spacing w:after="200" w:line="276" w:lineRule="auto"/>
        <w:rPr>
          <w:rFonts w:ascii="Arial" w:hAnsi="Arial" w:cs="Arial"/>
          <w:bCs/>
          <w:color w:val="FF0000"/>
          <w:sz w:val="22"/>
          <w:szCs w:val="22"/>
          <w:lang w:val="sk-SK"/>
        </w:rPr>
      </w:pPr>
      <w:r w:rsidRPr="00F362E0">
        <w:rPr>
          <w:rFonts w:ascii="Arial" w:hAnsi="Arial" w:cs="Arial"/>
          <w:b/>
          <w:bCs/>
          <w:color w:val="FF0000"/>
          <w:sz w:val="22"/>
          <w:szCs w:val="22"/>
          <w:lang w:val="sk-SK"/>
        </w:rPr>
        <w:t xml:space="preserve">vstupy – procesy – výstupy </w:t>
      </w:r>
    </w:p>
    <w:p w:rsidR="00F362E0" w:rsidRPr="00F362E0" w:rsidRDefault="00F362E0" w:rsidP="00F362E0">
      <w:pPr>
        <w:numPr>
          <w:ilvl w:val="0"/>
          <w:numId w:val="29"/>
        </w:numPr>
        <w:spacing w:after="200" w:line="276" w:lineRule="auto"/>
        <w:rPr>
          <w:rFonts w:ascii="Arial" w:hAnsi="Arial" w:cs="Arial"/>
          <w:bCs/>
          <w:sz w:val="22"/>
          <w:szCs w:val="22"/>
          <w:lang w:val="sk-SK"/>
        </w:rPr>
      </w:pPr>
      <w:r w:rsidRPr="00F362E0">
        <w:rPr>
          <w:rFonts w:ascii="Arial" w:hAnsi="Arial" w:cs="Arial"/>
          <w:b/>
          <w:bCs/>
          <w:sz w:val="22"/>
          <w:szCs w:val="22"/>
          <w:lang w:val="sk-SK"/>
        </w:rPr>
        <w:t>Vstupy</w:t>
      </w:r>
      <w:r w:rsidRPr="00F362E0">
        <w:rPr>
          <w:rFonts w:ascii="Arial" w:hAnsi="Arial" w:cs="Arial"/>
          <w:bCs/>
          <w:sz w:val="22"/>
          <w:szCs w:val="22"/>
          <w:lang w:val="sk-SK"/>
        </w:rPr>
        <w:t xml:space="preserve"> = peniaze, čas, personálne kapacity (národná úroveň medicíny)</w:t>
      </w:r>
    </w:p>
    <w:p w:rsidR="00F362E0" w:rsidRPr="00F362E0" w:rsidRDefault="00F362E0" w:rsidP="00F362E0">
      <w:pPr>
        <w:numPr>
          <w:ilvl w:val="0"/>
          <w:numId w:val="29"/>
        </w:numPr>
        <w:spacing w:after="200" w:line="276" w:lineRule="auto"/>
        <w:rPr>
          <w:rFonts w:ascii="Arial" w:hAnsi="Arial" w:cs="Arial"/>
          <w:bCs/>
          <w:sz w:val="22"/>
          <w:szCs w:val="22"/>
          <w:lang w:val="sk-SK"/>
        </w:rPr>
      </w:pPr>
      <w:r w:rsidRPr="00F362E0">
        <w:rPr>
          <w:rFonts w:ascii="Arial" w:hAnsi="Arial" w:cs="Arial"/>
          <w:b/>
          <w:bCs/>
          <w:sz w:val="22"/>
          <w:szCs w:val="22"/>
          <w:lang w:val="sk-SK"/>
        </w:rPr>
        <w:t>Procesy</w:t>
      </w:r>
      <w:r w:rsidRPr="00F362E0">
        <w:rPr>
          <w:rFonts w:ascii="Arial" w:hAnsi="Arial" w:cs="Arial"/>
          <w:bCs/>
          <w:sz w:val="22"/>
          <w:szCs w:val="22"/>
          <w:lang w:val="sk-SK"/>
        </w:rPr>
        <w:t xml:space="preserve"> = podpora, prevencia, diagnostika, liečba, paliatívna starostlivosť</w:t>
      </w:r>
    </w:p>
    <w:p w:rsidR="00F362E0" w:rsidRPr="00F362E0" w:rsidRDefault="00F362E0" w:rsidP="00F362E0">
      <w:pPr>
        <w:numPr>
          <w:ilvl w:val="0"/>
          <w:numId w:val="29"/>
        </w:numPr>
        <w:spacing w:after="200" w:line="276" w:lineRule="auto"/>
        <w:rPr>
          <w:rFonts w:ascii="Arial" w:hAnsi="Arial" w:cs="Arial"/>
          <w:bCs/>
          <w:sz w:val="22"/>
          <w:szCs w:val="22"/>
          <w:lang w:val="sk-SK"/>
        </w:rPr>
      </w:pPr>
      <w:r w:rsidRPr="00F362E0">
        <w:rPr>
          <w:rFonts w:ascii="Arial" w:hAnsi="Arial" w:cs="Arial"/>
          <w:b/>
          <w:bCs/>
          <w:sz w:val="22"/>
          <w:szCs w:val="22"/>
          <w:lang w:val="sk-SK"/>
        </w:rPr>
        <w:t>Výstupy</w:t>
      </w:r>
      <w:r w:rsidRPr="00F362E0">
        <w:rPr>
          <w:rFonts w:ascii="Arial" w:hAnsi="Arial" w:cs="Arial"/>
          <w:bCs/>
          <w:sz w:val="22"/>
          <w:szCs w:val="22"/>
          <w:lang w:val="sk-SK"/>
        </w:rPr>
        <w:t xml:space="preserve"> = morbidita, stredná dĺžka života, kvalita života (roky bez choroby) </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color w:val="008A3E"/>
          <w:sz w:val="22"/>
          <w:szCs w:val="22"/>
          <w:lang w:val="sk-SK"/>
        </w:rPr>
      </w:pPr>
    </w:p>
    <w:p w:rsidR="00714279" w:rsidRDefault="00F362E0" w:rsidP="00F362E0">
      <w:pPr>
        <w:spacing w:line="276" w:lineRule="auto"/>
        <w:rPr>
          <w:rFonts w:ascii="Arial" w:hAnsi="Arial" w:cs="Arial"/>
          <w:b/>
          <w:bCs/>
          <w:color w:val="008A3E"/>
          <w:sz w:val="22"/>
          <w:szCs w:val="22"/>
          <w:lang w:val="sk-SK"/>
        </w:rPr>
      </w:pPr>
      <w:r w:rsidRPr="00F362E0">
        <w:rPr>
          <w:rFonts w:ascii="Arial" w:hAnsi="Arial" w:cs="Arial"/>
          <w:b/>
          <w:bCs/>
          <w:color w:val="008A3E"/>
          <w:sz w:val="22"/>
          <w:szCs w:val="22"/>
          <w:lang w:val="sk-SK"/>
        </w:rPr>
        <w:t xml:space="preserve">PRINCÍPY FINANCOVANIA ZDRAVOTNÍCKYCH SLUŽIEB SÚ ZNÁME: </w:t>
      </w:r>
    </w:p>
    <w:p w:rsidR="00714279" w:rsidRPr="00F362E0" w:rsidRDefault="00714279" w:rsidP="00F362E0">
      <w:pPr>
        <w:spacing w:line="276" w:lineRule="auto"/>
        <w:rPr>
          <w:rFonts w:ascii="Arial" w:hAnsi="Arial" w:cs="Arial"/>
          <w:b/>
          <w:bCs/>
          <w:color w:val="008A3E"/>
          <w:sz w:val="22"/>
          <w:szCs w:val="22"/>
          <w:lang w:val="sk-SK"/>
        </w:rPr>
      </w:pPr>
    </w:p>
    <w:p w:rsidR="00F362E0" w:rsidRPr="00F362E0" w:rsidRDefault="00213568" w:rsidP="00F362E0">
      <w:pPr>
        <w:numPr>
          <w:ilvl w:val="0"/>
          <w:numId w:val="30"/>
        </w:numPr>
        <w:spacing w:after="200" w:line="276" w:lineRule="auto"/>
        <w:rPr>
          <w:rFonts w:ascii="Arial" w:hAnsi="Arial" w:cs="Arial"/>
          <w:bCs/>
          <w:sz w:val="22"/>
          <w:szCs w:val="22"/>
          <w:lang w:val="sk-SK"/>
        </w:rPr>
      </w:pPr>
      <w:r w:rsidRPr="00213568">
        <w:rPr>
          <w:rFonts w:ascii="Arial" w:hAnsi="Arial" w:cs="Arial"/>
          <w:b/>
          <w:bCs/>
          <w:noProof/>
          <w:sz w:val="22"/>
          <w:szCs w:val="22"/>
          <w:lang w:val="sk-SK" w:eastAsia="sk-SK"/>
        </w:rPr>
        <w:pict>
          <v:rect id="_x0000_s2079" style="position:absolute;left:0;text-align:left;margin-left:13.15pt;margin-top:34.65pt;width:444.5pt;height:75.85pt;z-index:-251650048" fillcolor="#f2f2f2 [3052]" strokecolor="#008a3e" strokeweight="2.25pt"/>
        </w:pict>
      </w:r>
      <w:r w:rsidR="00F362E0" w:rsidRPr="00F362E0">
        <w:rPr>
          <w:rFonts w:ascii="Arial" w:hAnsi="Arial" w:cs="Arial"/>
          <w:b/>
          <w:bCs/>
          <w:sz w:val="22"/>
          <w:szCs w:val="22"/>
          <w:lang w:val="sk-SK"/>
        </w:rPr>
        <w:t xml:space="preserve">Plat (salary) </w:t>
      </w:r>
      <w:r w:rsidR="00F362E0" w:rsidRPr="00F362E0">
        <w:rPr>
          <w:rFonts w:ascii="Arial" w:hAnsi="Arial" w:cs="Arial"/>
          <w:bCs/>
          <w:sz w:val="22"/>
          <w:szCs w:val="22"/>
          <w:lang w:val="sk-SK"/>
        </w:rPr>
        <w:t>– vedie k šetrnosti a k zníženiu kvality ZS, k poklesu výkonov a znižuje celkové náklady</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Podľa počtu pacientov (capitation) </w:t>
      </w:r>
      <w:r w:rsidRPr="00F362E0">
        <w:rPr>
          <w:rFonts w:ascii="Arial" w:hAnsi="Arial" w:cs="Arial"/>
          <w:bCs/>
          <w:sz w:val="22"/>
          <w:szCs w:val="22"/>
          <w:lang w:val="sk-SK"/>
        </w:rPr>
        <w:t>– podnecuje záujem o prevenciu a celkový zdravotný stav pacientov</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Podľa výkonov (fee-for-service) </w:t>
      </w:r>
      <w:r w:rsidRPr="00F362E0">
        <w:rPr>
          <w:rFonts w:ascii="Arial" w:hAnsi="Arial" w:cs="Arial"/>
          <w:bCs/>
          <w:sz w:val="22"/>
          <w:szCs w:val="22"/>
          <w:lang w:val="sk-SK"/>
        </w:rPr>
        <w:t>– obvykle podľa zoznamu výkonov a sadzieb za výkony – vedie k celkovému zvyšovaniu výkonov</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Podľa prípadu (case payment, DRG) </w:t>
      </w:r>
      <w:r w:rsidRPr="00F362E0">
        <w:rPr>
          <w:rFonts w:ascii="Arial" w:hAnsi="Arial" w:cs="Arial"/>
          <w:bCs/>
          <w:sz w:val="22"/>
          <w:szCs w:val="22"/>
          <w:lang w:val="sk-SK"/>
        </w:rPr>
        <w:t>– prihliada na stanovenú diagnózu a stupeň rozvoja choroby. Vysoké náklady na informačný systém, vo výsledku však zvyšuje efektivitu a kvalitu ZS</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Úhrada za návštevu pacienta (single charge) </w:t>
      </w:r>
      <w:r w:rsidRPr="00F362E0">
        <w:rPr>
          <w:rFonts w:ascii="Arial" w:hAnsi="Arial" w:cs="Arial"/>
          <w:bCs/>
          <w:sz w:val="22"/>
          <w:szCs w:val="22"/>
          <w:lang w:val="sk-SK"/>
        </w:rPr>
        <w:t>– paušál za jednu návštevu pacienta</w:t>
      </w:r>
    </w:p>
    <w:p w:rsidR="00F362E0" w:rsidRPr="00F362E0" w:rsidRDefault="00213568" w:rsidP="00F362E0">
      <w:pPr>
        <w:numPr>
          <w:ilvl w:val="0"/>
          <w:numId w:val="30"/>
        </w:numPr>
        <w:spacing w:after="200" w:line="276" w:lineRule="auto"/>
        <w:rPr>
          <w:rFonts w:ascii="Arial" w:hAnsi="Arial" w:cs="Arial"/>
          <w:bCs/>
          <w:sz w:val="22"/>
          <w:szCs w:val="22"/>
          <w:lang w:val="sk-SK"/>
        </w:rPr>
      </w:pPr>
      <w:r w:rsidRPr="00213568">
        <w:rPr>
          <w:rFonts w:ascii="Arial" w:hAnsi="Arial" w:cs="Arial"/>
          <w:b/>
          <w:bCs/>
          <w:noProof/>
          <w:sz w:val="22"/>
          <w:szCs w:val="22"/>
          <w:lang w:val="sk-SK" w:eastAsia="sk-SK"/>
        </w:rPr>
        <w:pict>
          <v:rect id="_x0000_s2080" style="position:absolute;left:0;text-align:left;margin-left:13.15pt;margin-top:18.25pt;width:444.5pt;height:75.8pt;z-index:-251649024" fillcolor="#f2f2f2 [3052]" strokecolor="#008a3e" strokeweight="2.25pt"/>
        </w:pict>
      </w:r>
      <w:r w:rsidR="00F362E0" w:rsidRPr="00F362E0">
        <w:rPr>
          <w:rFonts w:ascii="Arial" w:hAnsi="Arial" w:cs="Arial"/>
          <w:b/>
          <w:bCs/>
          <w:sz w:val="22"/>
          <w:szCs w:val="22"/>
          <w:lang w:val="sk-SK"/>
        </w:rPr>
        <w:t xml:space="preserve">Úhrada za ošetrovací deň (daily charge) </w:t>
      </w:r>
      <w:r w:rsidR="00F362E0" w:rsidRPr="00F362E0">
        <w:rPr>
          <w:rFonts w:ascii="Arial" w:hAnsi="Arial" w:cs="Arial"/>
          <w:bCs/>
          <w:sz w:val="22"/>
          <w:szCs w:val="22"/>
          <w:lang w:val="sk-SK"/>
        </w:rPr>
        <w:t>– môže viesť k predlžovaniu hospitalizácií</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Úhrada za dohodnutú prácu (flat-rate = bonus payment) </w:t>
      </w:r>
      <w:r w:rsidRPr="00F362E0">
        <w:rPr>
          <w:rFonts w:ascii="Arial" w:hAnsi="Arial" w:cs="Arial"/>
          <w:bCs/>
          <w:sz w:val="22"/>
          <w:szCs w:val="22"/>
          <w:lang w:val="sk-SK"/>
        </w:rPr>
        <w:t>– výkonnosť korigovaná na výsledok procesov = efektivita</w:t>
      </w:r>
    </w:p>
    <w:p w:rsidR="00F362E0" w:rsidRPr="00F362E0" w:rsidRDefault="00F362E0" w:rsidP="00F362E0">
      <w:pPr>
        <w:numPr>
          <w:ilvl w:val="0"/>
          <w:numId w:val="30"/>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Rozpočet (global payment) </w:t>
      </w:r>
      <w:r w:rsidRPr="00F362E0">
        <w:rPr>
          <w:rFonts w:ascii="Arial" w:hAnsi="Arial" w:cs="Arial"/>
          <w:bCs/>
          <w:sz w:val="22"/>
          <w:szCs w:val="22"/>
          <w:lang w:val="sk-SK"/>
        </w:rPr>
        <w:t xml:space="preserve">– určenie výšky disponibilných zdrojov s určitou miernou voľnosti v štruktúre výdavkov </w:t>
      </w:r>
    </w:p>
    <w:p w:rsidR="00F362E0" w:rsidRDefault="00F362E0" w:rsidP="00F362E0">
      <w:pPr>
        <w:spacing w:line="276" w:lineRule="auto"/>
        <w:rPr>
          <w:rFonts w:ascii="Arial" w:hAnsi="Arial" w:cs="Arial"/>
          <w:b/>
          <w:bCs/>
          <w:color w:val="008A3E"/>
          <w:sz w:val="22"/>
          <w:szCs w:val="22"/>
          <w:lang w:val="sk-SK"/>
        </w:rPr>
      </w:pPr>
    </w:p>
    <w:p w:rsidR="00F362E0" w:rsidRPr="00F362E0" w:rsidRDefault="00F362E0" w:rsidP="00F362E0">
      <w:pPr>
        <w:spacing w:line="276" w:lineRule="auto"/>
        <w:rPr>
          <w:rFonts w:ascii="Arial" w:hAnsi="Arial" w:cs="Arial"/>
          <w:b/>
          <w:bCs/>
          <w:color w:val="008A3E"/>
          <w:sz w:val="22"/>
          <w:szCs w:val="22"/>
          <w:lang w:val="sk-SK"/>
        </w:rPr>
      </w:pPr>
      <w:r w:rsidRPr="00F362E0">
        <w:rPr>
          <w:rFonts w:ascii="Arial" w:hAnsi="Arial" w:cs="Arial"/>
          <w:b/>
          <w:bCs/>
          <w:color w:val="008A3E"/>
          <w:sz w:val="22"/>
          <w:szCs w:val="22"/>
          <w:lang w:val="sk-SK"/>
        </w:rPr>
        <w:t>Vyznačené sú spôsoby, ktoré uplatňujeme v návrhu úhradového mechanizmu pre VLD.</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color w:val="7030A0"/>
          <w:sz w:val="22"/>
          <w:szCs w:val="22"/>
          <w:lang w:val="sk-SK"/>
        </w:rPr>
      </w:pPr>
      <w:r w:rsidRPr="00F362E0">
        <w:rPr>
          <w:rFonts w:ascii="Arial" w:hAnsi="Arial" w:cs="Arial"/>
          <w:b/>
          <w:bCs/>
          <w:color w:val="7030A0"/>
          <w:sz w:val="22"/>
          <w:szCs w:val="22"/>
          <w:lang w:val="sk-SK"/>
        </w:rPr>
        <w:t>AKÝ JE SYSTÉM FINANCOVANIA ZS v SR?</w:t>
      </w:r>
    </w:p>
    <w:p w:rsidR="00F362E0" w:rsidRPr="00F362E0" w:rsidRDefault="00F362E0" w:rsidP="00F362E0">
      <w:pPr>
        <w:spacing w:line="276" w:lineRule="auto"/>
        <w:rPr>
          <w:rFonts w:ascii="Arial" w:hAnsi="Arial" w:cs="Arial"/>
          <w:b/>
          <w:bCs/>
          <w:color w:val="7030A0"/>
          <w:sz w:val="22"/>
          <w:szCs w:val="22"/>
          <w:lang w:val="sk-SK"/>
        </w:rPr>
      </w:pPr>
    </w:p>
    <w:p w:rsidR="00F362E0" w:rsidRPr="00F362E0" w:rsidRDefault="00F362E0" w:rsidP="00F362E0">
      <w:pPr>
        <w:numPr>
          <w:ilvl w:val="0"/>
          <w:numId w:val="31"/>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Pluralitný – poisťovací systém </w:t>
      </w:r>
      <w:r w:rsidRPr="00F362E0">
        <w:rPr>
          <w:rFonts w:ascii="Arial" w:hAnsi="Arial" w:cs="Arial"/>
          <w:bCs/>
          <w:sz w:val="22"/>
          <w:szCs w:val="22"/>
          <w:lang w:val="sk-SK"/>
        </w:rPr>
        <w:t>= povinné verejné zdravotné poistenie z príspevkov zamestnancov, zamestnávateľov a štátu s možnosťou spoluúčasti pacienta</w:t>
      </w:r>
    </w:p>
    <w:p w:rsidR="00F362E0" w:rsidRPr="00F362E0" w:rsidRDefault="00F362E0" w:rsidP="00F362E0">
      <w:pPr>
        <w:numPr>
          <w:ilvl w:val="0"/>
          <w:numId w:val="31"/>
        </w:numPr>
        <w:spacing w:after="200" w:line="276" w:lineRule="auto"/>
        <w:rPr>
          <w:rFonts w:ascii="Arial" w:hAnsi="Arial" w:cs="Arial"/>
          <w:bCs/>
          <w:sz w:val="22"/>
          <w:szCs w:val="22"/>
          <w:lang w:val="sk-SK"/>
        </w:rPr>
      </w:pPr>
      <w:r w:rsidRPr="00F362E0">
        <w:rPr>
          <w:rFonts w:ascii="Arial" w:hAnsi="Arial" w:cs="Arial"/>
          <w:b/>
          <w:bCs/>
          <w:sz w:val="22"/>
          <w:szCs w:val="22"/>
          <w:lang w:val="sk-SK"/>
        </w:rPr>
        <w:t xml:space="preserve">Trhový princíp súťaže:  1.poisťovní o pacienta </w:t>
      </w:r>
      <w:r w:rsidRPr="00F362E0">
        <w:rPr>
          <w:rFonts w:ascii="Arial" w:hAnsi="Arial" w:cs="Arial"/>
          <w:bCs/>
          <w:sz w:val="22"/>
          <w:szCs w:val="22"/>
          <w:lang w:val="sk-SK"/>
        </w:rPr>
        <w:t xml:space="preserve">(pri rovnakých službách pre všetkých pacientov) </w:t>
      </w:r>
      <w:r w:rsidRPr="00F362E0">
        <w:rPr>
          <w:rFonts w:ascii="Arial" w:hAnsi="Arial" w:cs="Arial"/>
          <w:b/>
          <w:bCs/>
          <w:sz w:val="22"/>
          <w:szCs w:val="22"/>
          <w:lang w:val="sk-SK"/>
        </w:rPr>
        <w:t xml:space="preserve">2. poskytovateľov o zmluvu s poisťovňami </w:t>
      </w:r>
      <w:r w:rsidRPr="00F362E0">
        <w:rPr>
          <w:rFonts w:ascii="Arial" w:hAnsi="Arial" w:cs="Arial"/>
          <w:bCs/>
          <w:sz w:val="22"/>
          <w:szCs w:val="22"/>
          <w:lang w:val="sk-SK"/>
        </w:rPr>
        <w:t>– individuálne rokovania o kvalite, cenách a objemoch ZS (počet lôžok, počet ambulantných poskytovateľov)</w:t>
      </w:r>
    </w:p>
    <w:p w:rsidR="00F362E0" w:rsidRPr="00F362E0" w:rsidRDefault="00F362E0" w:rsidP="00F362E0">
      <w:pPr>
        <w:numPr>
          <w:ilvl w:val="0"/>
          <w:numId w:val="31"/>
        </w:numPr>
        <w:spacing w:after="200" w:line="276" w:lineRule="auto"/>
        <w:rPr>
          <w:rFonts w:ascii="Arial" w:hAnsi="Arial" w:cs="Arial"/>
          <w:bCs/>
          <w:sz w:val="22"/>
          <w:szCs w:val="22"/>
          <w:lang w:val="sk-SK"/>
        </w:rPr>
      </w:pPr>
      <w:r w:rsidRPr="00F362E0">
        <w:rPr>
          <w:rFonts w:ascii="Arial" w:hAnsi="Arial" w:cs="Arial"/>
          <w:bCs/>
          <w:sz w:val="22"/>
          <w:szCs w:val="22"/>
          <w:lang w:val="sk-SK"/>
        </w:rPr>
        <w:t>Na zaručenie dostupnosti poskytovateľov vláda stanovuje požiadavku minimálnej siete poskytovateľov</w:t>
      </w:r>
    </w:p>
    <w:p w:rsidR="00F362E0" w:rsidRPr="00F362E0" w:rsidRDefault="00F362E0" w:rsidP="00F362E0">
      <w:pPr>
        <w:numPr>
          <w:ilvl w:val="0"/>
          <w:numId w:val="31"/>
        </w:numPr>
        <w:spacing w:after="200" w:line="276" w:lineRule="auto"/>
        <w:rPr>
          <w:rFonts w:ascii="Arial" w:hAnsi="Arial" w:cs="Arial"/>
          <w:bCs/>
          <w:color w:val="7030A0"/>
          <w:sz w:val="22"/>
          <w:szCs w:val="22"/>
          <w:lang w:val="sk-SK"/>
        </w:rPr>
      </w:pPr>
      <w:r w:rsidRPr="00F362E0">
        <w:rPr>
          <w:rFonts w:ascii="Arial" w:hAnsi="Arial" w:cs="Arial"/>
          <w:b/>
          <w:bCs/>
          <w:color w:val="7030A0"/>
          <w:sz w:val="22"/>
          <w:szCs w:val="22"/>
          <w:lang w:val="sk-SK"/>
        </w:rPr>
        <w:t>Ústrednú úlohu pri správe systému ZS má MZ SR pričom úsilie o formovanie systému sa sústreďuje na hľadanie štruktúry, v ktorej je rovnováha medzi konkurenčným trhom a reguláciou.</w:t>
      </w:r>
    </w:p>
    <w:p w:rsidR="00F362E0" w:rsidRPr="00F362E0" w:rsidRDefault="00F362E0" w:rsidP="00F362E0">
      <w:pPr>
        <w:numPr>
          <w:ilvl w:val="0"/>
          <w:numId w:val="31"/>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Existujú aj osobitné programy pre desaťpercentnú rómsku menšinu, ktorá má horší zdravotný stav ako celková populácia </w:t>
      </w:r>
    </w:p>
    <w:p w:rsidR="00F362E0" w:rsidRPr="00F362E0" w:rsidRDefault="00F362E0" w:rsidP="00F362E0">
      <w:pPr>
        <w:numPr>
          <w:ilvl w:val="0"/>
          <w:numId w:val="31"/>
        </w:numPr>
        <w:spacing w:after="200" w:line="276" w:lineRule="auto"/>
        <w:rPr>
          <w:rFonts w:ascii="Arial" w:hAnsi="Arial" w:cs="Arial"/>
          <w:bCs/>
          <w:sz w:val="22"/>
          <w:szCs w:val="22"/>
          <w:lang w:val="sk-SK"/>
        </w:rPr>
      </w:pPr>
      <w:r w:rsidRPr="00F362E0">
        <w:rPr>
          <w:rFonts w:ascii="Arial" w:hAnsi="Arial" w:cs="Arial"/>
          <w:bCs/>
          <w:sz w:val="22"/>
          <w:szCs w:val="22"/>
          <w:lang w:val="sk-SK"/>
        </w:rPr>
        <w:t>Vzorec prerozdeľovania podľa veku, pohlavia, hospodárskej činnosti a spotreby liekov slúži na zmiernenie rizikových rozdielov medzi poisťovňami</w:t>
      </w:r>
    </w:p>
    <w:p w:rsidR="00F362E0" w:rsidRPr="00F362E0" w:rsidRDefault="00F362E0" w:rsidP="00F362E0">
      <w:pPr>
        <w:numPr>
          <w:ilvl w:val="0"/>
          <w:numId w:val="31"/>
        </w:numPr>
        <w:spacing w:after="200" w:line="276" w:lineRule="auto"/>
        <w:rPr>
          <w:rFonts w:ascii="Arial" w:hAnsi="Arial" w:cs="Arial"/>
          <w:bCs/>
          <w:color w:val="FF0000"/>
          <w:sz w:val="22"/>
          <w:szCs w:val="22"/>
          <w:lang w:val="sk-SK"/>
        </w:rPr>
      </w:pPr>
      <w:r w:rsidRPr="00F362E0">
        <w:rPr>
          <w:rFonts w:ascii="Arial" w:hAnsi="Arial" w:cs="Arial"/>
          <w:b/>
          <w:bCs/>
          <w:color w:val="FF0000"/>
          <w:sz w:val="22"/>
          <w:szCs w:val="22"/>
          <w:lang w:val="sk-SK"/>
        </w:rPr>
        <w:t xml:space="preserve">„LEX PLUS LAUDATUR, QUANDO RATIONE PROBATUR“ </w:t>
      </w: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Zákon je tým váženejší (chválený), čím je pre prax efektívnejší (je jasné aký má pre prax zmysel).</w:t>
      </w:r>
    </w:p>
    <w:p w:rsidR="00F362E0" w:rsidRDefault="00F362E0" w:rsidP="00F362E0">
      <w:pP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Je potrebné konštatovať, že systém financovania ZS v SR nevytvára potrebné predpoklady pre koncepciu ZS a jej predvídateľné zabezpečenie v budúcnosti. Prax preukazuje, že ľudské, aj finančné zdroje sú prirodzene obmedzené a trh nie je univerzálnym riešením všetkých otázok týkajúcich sa spoločenskej kohézie, stability a demokratického vývoja.</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Default="00F362E0" w:rsidP="00F362E0">
      <w:pPr>
        <w:spacing w:line="276" w:lineRule="auto"/>
        <w:rPr>
          <w:rFonts w:ascii="Arial" w:hAnsi="Arial" w:cs="Arial"/>
          <w:b/>
          <w:bCs/>
          <w:color w:val="7030A0"/>
          <w:sz w:val="22"/>
          <w:szCs w:val="22"/>
          <w:lang w:val="sk-SK"/>
        </w:rPr>
      </w:pPr>
    </w:p>
    <w:p w:rsidR="00F362E0" w:rsidRDefault="00F362E0" w:rsidP="00F362E0">
      <w:pPr>
        <w:spacing w:line="276" w:lineRule="auto"/>
        <w:rPr>
          <w:rFonts w:ascii="Arial" w:hAnsi="Arial" w:cs="Arial"/>
          <w:b/>
          <w:bCs/>
          <w:color w:val="7030A0"/>
          <w:sz w:val="22"/>
          <w:szCs w:val="22"/>
          <w:lang w:val="sk-SK"/>
        </w:rPr>
      </w:pPr>
      <w:r w:rsidRPr="00F362E0">
        <w:rPr>
          <w:rFonts w:ascii="Arial" w:hAnsi="Arial" w:cs="Arial"/>
          <w:b/>
          <w:bCs/>
          <w:color w:val="7030A0"/>
          <w:sz w:val="22"/>
          <w:szCs w:val="22"/>
          <w:lang w:val="sk-SK"/>
        </w:rPr>
        <w:t>AKÉ SÚ ODPORÚČANIA (NAD)NÁRODNÝCH AUTORÍT ?</w:t>
      </w:r>
    </w:p>
    <w:p w:rsidR="005430FD" w:rsidRPr="00F362E0" w:rsidRDefault="005430FD" w:rsidP="00F362E0">
      <w:pPr>
        <w:spacing w:line="276" w:lineRule="auto"/>
        <w:rPr>
          <w:rFonts w:ascii="Arial" w:hAnsi="Arial" w:cs="Arial"/>
          <w:b/>
          <w:bCs/>
          <w:color w:val="7030A0"/>
          <w:sz w:val="22"/>
          <w:szCs w:val="22"/>
          <w:lang w:val="sk-SK"/>
        </w:rPr>
      </w:pP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
          <w:bCs/>
          <w:sz w:val="22"/>
          <w:szCs w:val="22"/>
          <w:lang w:val="sk-SK"/>
        </w:rPr>
        <w:t>Rozšírenie a posilnenie postavenia VLD v systéme ZS zakotvené v legislatíve – nová koncepcia VL so stanovením nových kompetencií VLD</w:t>
      </w: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Cs/>
          <w:sz w:val="22"/>
          <w:szCs w:val="22"/>
          <w:lang w:val="sk-SK"/>
        </w:rPr>
        <w:t>Kapitačné vzorce umožňujúce odstupňované zohľadnenie výkonnosti poskytovateľa</w:t>
      </w: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Úhrady viazané na výkon, alebo zoskupené platby, ktoré by stimulovali kvalitu starostlivosti o chronické ochorenia prevenciu a koordináciu starostlivosti o pacienta – horizontálna a vertikálna integrácia starostlivosti o pacienta </w:t>
      </w: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Cs/>
          <w:sz w:val="22"/>
          <w:szCs w:val="22"/>
          <w:lang w:val="sk-SK"/>
        </w:rPr>
        <w:t>Definícia a rozšírenie kompetencií sestier a iných zdravotníckych pracovníkov v prvom kontakte</w:t>
      </w: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Cs/>
          <w:sz w:val="22"/>
          <w:szCs w:val="22"/>
          <w:lang w:val="sk-SK"/>
        </w:rPr>
        <w:t>Zabezpečenie obnovy ľudských zdrojov</w:t>
      </w:r>
    </w:p>
    <w:p w:rsidR="00F362E0" w:rsidRPr="00F362E0" w:rsidRDefault="00F362E0" w:rsidP="00F362E0">
      <w:pPr>
        <w:numPr>
          <w:ilvl w:val="0"/>
          <w:numId w:val="32"/>
        </w:numPr>
        <w:spacing w:after="200" w:line="276" w:lineRule="auto"/>
        <w:rPr>
          <w:rFonts w:ascii="Arial" w:hAnsi="Arial" w:cs="Arial"/>
          <w:bCs/>
          <w:sz w:val="22"/>
          <w:szCs w:val="22"/>
          <w:lang w:val="sk-SK"/>
        </w:rPr>
      </w:pPr>
      <w:r w:rsidRPr="00F362E0">
        <w:rPr>
          <w:rFonts w:ascii="Arial" w:hAnsi="Arial" w:cs="Arial"/>
          <w:bCs/>
          <w:sz w:val="22"/>
          <w:szCs w:val="22"/>
          <w:lang w:val="sk-SK"/>
        </w:rPr>
        <w:t>Riadenie a organizácia ZS prvého kontaktu v pôsobnosti osobitnej organizačnej zložky MZ SR</w:t>
      </w:r>
    </w:p>
    <w:p w:rsidR="00F362E0" w:rsidRPr="00F362E0" w:rsidRDefault="00F362E0" w:rsidP="00F362E0">
      <w:pPr>
        <w:spacing w:line="276" w:lineRule="auto"/>
        <w:rPr>
          <w:rFonts w:ascii="Arial" w:hAnsi="Arial" w:cs="Arial"/>
          <w:bCs/>
          <w:sz w:val="22"/>
          <w:szCs w:val="22"/>
          <w:lang w:val="sk-SK"/>
        </w:rPr>
      </w:pPr>
      <w:r w:rsidRPr="00F362E0">
        <w:rPr>
          <w:rFonts w:ascii="Arial" w:hAnsi="Arial" w:cs="Arial"/>
          <w:bCs/>
          <w:sz w:val="22"/>
          <w:szCs w:val="22"/>
          <w:lang w:val="sk-SK"/>
        </w:rPr>
        <w:t>Ako inak sa má vláda v právnom štáte starať o budúcnosť a rozvoj ako zmysluplným uplatňovaním zákonodarnej iniciatívy a dohľadom nad dodržiavaním stanovených pravidiel?  Je naivné sa na Slovensku domnievať, že zdravé uplatňovanie moci má vytvárať prostredie predvídateľnej budúcnosti pre zdravotnú starostlivosť, právo na zdravie a zdravé životné prostredie?</w:t>
      </w:r>
    </w:p>
    <w:p w:rsidR="00F362E0" w:rsidRPr="00F362E0" w:rsidRDefault="00F362E0" w:rsidP="00F362E0">
      <w:pPr>
        <w:pBdr>
          <w:bottom w:val="single" w:sz="6" w:space="1" w:color="auto"/>
        </w:pBdr>
        <w:spacing w:line="276" w:lineRule="auto"/>
        <w:rPr>
          <w:rFonts w:ascii="Arial" w:hAnsi="Arial" w:cs="Arial"/>
          <w:bCs/>
          <w:sz w:val="22"/>
          <w:szCs w:val="22"/>
          <w:lang w:val="sk-SK"/>
        </w:rPr>
      </w:pPr>
    </w:p>
    <w:p w:rsidR="00F362E0" w:rsidRPr="00F362E0" w:rsidRDefault="00F362E0" w:rsidP="00F362E0">
      <w:pPr>
        <w:spacing w:line="276" w:lineRule="auto"/>
        <w:rPr>
          <w:rFonts w:ascii="Arial" w:hAnsi="Arial" w:cs="Arial"/>
          <w:b/>
          <w:bCs/>
          <w:color w:val="990033"/>
          <w:sz w:val="22"/>
          <w:szCs w:val="22"/>
          <w:lang w:val="sk-SK"/>
        </w:rPr>
      </w:pPr>
    </w:p>
    <w:p w:rsidR="00F362E0" w:rsidRDefault="00F362E0" w:rsidP="00F362E0">
      <w:pPr>
        <w:spacing w:line="276" w:lineRule="auto"/>
        <w:rPr>
          <w:rFonts w:ascii="Arial" w:hAnsi="Arial" w:cs="Arial"/>
          <w:b/>
          <w:bCs/>
          <w:color w:val="990033"/>
          <w:sz w:val="22"/>
          <w:szCs w:val="22"/>
          <w:lang w:val="sk-SK"/>
        </w:rPr>
      </w:pPr>
      <w:r w:rsidRPr="00F362E0">
        <w:rPr>
          <w:rFonts w:ascii="Arial" w:hAnsi="Arial" w:cs="Arial"/>
          <w:b/>
          <w:bCs/>
          <w:color w:val="990033"/>
          <w:sz w:val="22"/>
          <w:szCs w:val="22"/>
          <w:lang w:val="sk-SK"/>
        </w:rPr>
        <w:t xml:space="preserve">KONCEPT ZVLD SR – NÁVRH NA REALIZÁCIU ODPORÚČANÍ     </w:t>
      </w:r>
    </w:p>
    <w:p w:rsidR="00F362E0" w:rsidRPr="00F362E0" w:rsidRDefault="00F362E0" w:rsidP="00F362E0">
      <w:pPr>
        <w:spacing w:line="276" w:lineRule="auto"/>
        <w:rPr>
          <w:rFonts w:ascii="Arial" w:hAnsi="Arial" w:cs="Arial"/>
          <w:b/>
          <w:bCs/>
          <w:noProof/>
          <w:color w:val="990033"/>
          <w:sz w:val="22"/>
          <w:szCs w:val="22"/>
          <w:lang w:val="sk-SK" w:eastAsia="sk-SK"/>
        </w:rPr>
      </w:pPr>
      <w:r w:rsidRPr="00F362E0">
        <w:rPr>
          <w:rFonts w:ascii="Arial" w:hAnsi="Arial" w:cs="Arial"/>
          <w:b/>
          <w:bCs/>
          <w:color w:val="990033"/>
          <w:sz w:val="22"/>
          <w:szCs w:val="22"/>
          <w:lang w:val="sk-SK"/>
        </w:rPr>
        <w:t xml:space="preserve">            </w:t>
      </w:r>
    </w:p>
    <w:p w:rsidR="00F362E0" w:rsidRPr="00F362E0" w:rsidRDefault="00F362E0" w:rsidP="00F362E0">
      <w:pPr>
        <w:numPr>
          <w:ilvl w:val="0"/>
          <w:numId w:val="33"/>
        </w:numPr>
        <w:spacing w:after="200" w:line="276" w:lineRule="auto"/>
        <w:rPr>
          <w:rFonts w:ascii="Arial" w:hAnsi="Arial" w:cs="Arial"/>
          <w:b/>
          <w:bCs/>
          <w:color w:val="FF0000"/>
          <w:sz w:val="22"/>
          <w:szCs w:val="22"/>
          <w:lang w:val="sk-SK"/>
        </w:rPr>
      </w:pPr>
      <w:r w:rsidRPr="00F362E0">
        <w:rPr>
          <w:rFonts w:ascii="Arial" w:hAnsi="Arial" w:cs="Arial"/>
          <w:b/>
          <w:bCs/>
          <w:color w:val="FF0000"/>
          <w:sz w:val="22"/>
          <w:szCs w:val="22"/>
          <w:lang w:val="sk-SK"/>
        </w:rPr>
        <w:t>Úhradový mechanizmus VLD zabezpečený všeobecne záväzným právnym predpisom</w:t>
      </w:r>
    </w:p>
    <w:p w:rsidR="00F362E0" w:rsidRPr="00F362E0" w:rsidRDefault="00F362E0" w:rsidP="00F362E0">
      <w:pPr>
        <w:numPr>
          <w:ilvl w:val="0"/>
          <w:numId w:val="33"/>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Základ pre výpočet kapitačnej úhrady a jednotkových cien výkonov sa viaže na priemernú mzdu v NH </w:t>
      </w:r>
    </w:p>
    <w:p w:rsidR="00F362E0" w:rsidRPr="00F362E0" w:rsidRDefault="00F362E0" w:rsidP="00F362E0">
      <w:pPr>
        <w:numPr>
          <w:ilvl w:val="0"/>
          <w:numId w:val="33"/>
        </w:numPr>
        <w:spacing w:after="200" w:line="276" w:lineRule="auto"/>
        <w:rPr>
          <w:rFonts w:ascii="Arial" w:hAnsi="Arial" w:cs="Arial"/>
          <w:b/>
          <w:bCs/>
          <w:color w:val="7030A0"/>
          <w:sz w:val="22"/>
          <w:szCs w:val="22"/>
          <w:lang w:val="sk-SK"/>
        </w:rPr>
      </w:pPr>
      <w:r w:rsidRPr="00F362E0">
        <w:rPr>
          <w:rFonts w:ascii="Arial" w:hAnsi="Arial" w:cs="Arial"/>
          <w:bCs/>
          <w:sz w:val="22"/>
          <w:szCs w:val="22"/>
          <w:lang w:val="sk-SK"/>
        </w:rPr>
        <w:t>Uplatňuje sa</w:t>
      </w:r>
      <w:r w:rsidRPr="00F362E0">
        <w:rPr>
          <w:rFonts w:ascii="Arial" w:hAnsi="Arial" w:cs="Arial"/>
          <w:b/>
          <w:bCs/>
          <w:color w:val="990033"/>
          <w:sz w:val="22"/>
          <w:szCs w:val="22"/>
          <w:lang w:val="sk-SK"/>
        </w:rPr>
        <w:t xml:space="preserve"> </w:t>
      </w:r>
      <w:r w:rsidRPr="00F362E0">
        <w:rPr>
          <w:rFonts w:ascii="Arial" w:hAnsi="Arial" w:cs="Arial"/>
          <w:b/>
          <w:bCs/>
          <w:color w:val="7030A0"/>
          <w:sz w:val="22"/>
          <w:szCs w:val="22"/>
          <w:lang w:val="sk-SK"/>
        </w:rPr>
        <w:t>vekový koeficient nákladovosti</w:t>
      </w:r>
      <w:r w:rsidRPr="00F362E0">
        <w:rPr>
          <w:rFonts w:ascii="Arial" w:hAnsi="Arial" w:cs="Arial"/>
          <w:b/>
          <w:bCs/>
          <w:color w:val="990033"/>
          <w:sz w:val="22"/>
          <w:szCs w:val="22"/>
          <w:lang w:val="sk-SK"/>
        </w:rPr>
        <w:t xml:space="preserve"> a </w:t>
      </w:r>
      <w:r w:rsidRPr="00F362E0">
        <w:rPr>
          <w:rFonts w:ascii="Arial" w:hAnsi="Arial" w:cs="Arial"/>
          <w:b/>
          <w:bCs/>
          <w:color w:val="7030A0"/>
          <w:sz w:val="22"/>
          <w:szCs w:val="22"/>
          <w:lang w:val="sk-SK"/>
        </w:rPr>
        <w:t>kapitačno-výkonový princíp</w:t>
      </w:r>
      <w:r w:rsidRPr="00F362E0">
        <w:rPr>
          <w:rFonts w:ascii="Arial" w:hAnsi="Arial" w:cs="Arial"/>
          <w:b/>
          <w:bCs/>
          <w:color w:val="990033"/>
          <w:sz w:val="22"/>
          <w:szCs w:val="22"/>
          <w:lang w:val="sk-SK"/>
        </w:rPr>
        <w:t xml:space="preserve"> </w:t>
      </w:r>
      <w:r w:rsidRPr="00F362E0">
        <w:rPr>
          <w:rFonts w:ascii="Arial" w:hAnsi="Arial" w:cs="Arial"/>
          <w:bCs/>
          <w:color w:val="990033"/>
          <w:sz w:val="22"/>
          <w:szCs w:val="22"/>
          <w:lang w:val="sk-SK"/>
        </w:rPr>
        <w:t xml:space="preserve">pri </w:t>
      </w:r>
      <w:r w:rsidRPr="00F362E0">
        <w:rPr>
          <w:rFonts w:ascii="Arial" w:hAnsi="Arial" w:cs="Arial"/>
          <w:bCs/>
          <w:sz w:val="22"/>
          <w:szCs w:val="22"/>
          <w:lang w:val="sk-SK"/>
        </w:rPr>
        <w:t>výpočte dodatkovej kapitačnej úhrady</w:t>
      </w:r>
      <w:r w:rsidRPr="00F362E0">
        <w:rPr>
          <w:rFonts w:ascii="Arial" w:hAnsi="Arial" w:cs="Arial"/>
          <w:bCs/>
          <w:color w:val="990033"/>
          <w:sz w:val="22"/>
          <w:szCs w:val="22"/>
          <w:lang w:val="sk-SK"/>
        </w:rPr>
        <w:t xml:space="preserve"> </w:t>
      </w:r>
      <w:r w:rsidRPr="00F362E0">
        <w:rPr>
          <w:rFonts w:ascii="Arial" w:hAnsi="Arial" w:cs="Arial"/>
          <w:bCs/>
          <w:sz w:val="22"/>
          <w:szCs w:val="22"/>
          <w:lang w:val="sk-SK"/>
        </w:rPr>
        <w:t>viazaný</w:t>
      </w:r>
      <w:r w:rsidRPr="00F362E0">
        <w:rPr>
          <w:rFonts w:ascii="Arial" w:hAnsi="Arial" w:cs="Arial"/>
          <w:b/>
          <w:bCs/>
          <w:color w:val="7030A0"/>
          <w:sz w:val="22"/>
          <w:szCs w:val="22"/>
          <w:lang w:val="sk-SK"/>
        </w:rPr>
        <w:t xml:space="preserve"> na objektívne demografické a epidemiologické dáta</w:t>
      </w:r>
    </w:p>
    <w:p w:rsidR="00F362E0" w:rsidRPr="00F362E0" w:rsidRDefault="00F362E0" w:rsidP="00F362E0">
      <w:pPr>
        <w:numPr>
          <w:ilvl w:val="0"/>
          <w:numId w:val="33"/>
        </w:numPr>
        <w:spacing w:after="200" w:line="276" w:lineRule="auto"/>
        <w:rPr>
          <w:rFonts w:ascii="Arial" w:hAnsi="Arial" w:cs="Arial"/>
          <w:bCs/>
          <w:sz w:val="22"/>
          <w:szCs w:val="22"/>
          <w:lang w:val="sk-SK"/>
        </w:rPr>
      </w:pPr>
      <w:r w:rsidRPr="00F362E0">
        <w:rPr>
          <w:rFonts w:ascii="Arial" w:hAnsi="Arial" w:cs="Arial"/>
          <w:bCs/>
          <w:sz w:val="22"/>
          <w:szCs w:val="22"/>
          <w:lang w:val="sk-SK"/>
        </w:rPr>
        <w:t>Nevyhnutné je</w:t>
      </w:r>
      <w:r w:rsidRPr="00F362E0">
        <w:rPr>
          <w:rFonts w:ascii="Arial" w:hAnsi="Arial" w:cs="Arial"/>
          <w:b/>
          <w:bCs/>
          <w:color w:val="990033"/>
          <w:sz w:val="22"/>
          <w:szCs w:val="22"/>
          <w:lang w:val="sk-SK"/>
        </w:rPr>
        <w:t xml:space="preserve"> zjednotenie zoznamu výkonov </w:t>
      </w:r>
      <w:r w:rsidRPr="00F362E0">
        <w:rPr>
          <w:rFonts w:ascii="Arial" w:hAnsi="Arial" w:cs="Arial"/>
          <w:bCs/>
          <w:sz w:val="22"/>
          <w:szCs w:val="22"/>
          <w:lang w:val="sk-SK"/>
        </w:rPr>
        <w:t>čo do označenia a obsahu výkonov (všeobecne záväzný pre všetky ZP)</w:t>
      </w:r>
    </w:p>
    <w:p w:rsidR="00F362E0" w:rsidRPr="00F362E0" w:rsidRDefault="00F362E0" w:rsidP="00F362E0">
      <w:pPr>
        <w:numPr>
          <w:ilvl w:val="0"/>
          <w:numId w:val="33"/>
        </w:numPr>
        <w:spacing w:after="200" w:line="276" w:lineRule="auto"/>
        <w:rPr>
          <w:rFonts w:ascii="Arial" w:hAnsi="Arial" w:cs="Arial"/>
          <w:bCs/>
          <w:sz w:val="22"/>
          <w:szCs w:val="22"/>
          <w:lang w:val="sk-SK"/>
        </w:rPr>
      </w:pPr>
      <w:r w:rsidRPr="00F362E0">
        <w:rPr>
          <w:rFonts w:ascii="Arial" w:hAnsi="Arial" w:cs="Arial"/>
          <w:bCs/>
          <w:sz w:val="22"/>
          <w:szCs w:val="22"/>
          <w:lang w:val="sk-SK"/>
        </w:rPr>
        <w:t>Predvídateľný pomer kapitačnej platby a platby za výkony (70/30%? = otázka jednotkových cien a objemov)</w:t>
      </w:r>
    </w:p>
    <w:p w:rsidR="00F362E0" w:rsidRPr="00F362E0" w:rsidRDefault="00F362E0" w:rsidP="00F362E0">
      <w:pPr>
        <w:numPr>
          <w:ilvl w:val="0"/>
          <w:numId w:val="33"/>
        </w:numPr>
        <w:spacing w:after="200" w:line="276" w:lineRule="auto"/>
        <w:rPr>
          <w:rFonts w:ascii="Arial" w:hAnsi="Arial" w:cs="Arial"/>
          <w:b/>
          <w:bCs/>
          <w:color w:val="008A3E"/>
          <w:sz w:val="22"/>
          <w:szCs w:val="22"/>
          <w:lang w:val="sk-SK"/>
        </w:rPr>
      </w:pPr>
      <w:r w:rsidRPr="00F362E0">
        <w:rPr>
          <w:rFonts w:ascii="Arial" w:hAnsi="Arial" w:cs="Arial"/>
          <w:b/>
          <w:bCs/>
          <w:color w:val="008A3E"/>
          <w:sz w:val="22"/>
          <w:szCs w:val="22"/>
          <w:lang w:val="sk-SK"/>
        </w:rPr>
        <w:t xml:space="preserve">Predvídateľné financovanie ambulancií VLD zohľadňujúce systémové zakotvenie prvého kontaktu v starostlivosti o pacienta v SR </w:t>
      </w:r>
    </w:p>
    <w:p w:rsidR="00F362E0" w:rsidRPr="00F362E0" w:rsidRDefault="00F362E0" w:rsidP="00F362E0">
      <w:pPr>
        <w:numPr>
          <w:ilvl w:val="0"/>
          <w:numId w:val="33"/>
        </w:numPr>
        <w:spacing w:after="200" w:line="276" w:lineRule="auto"/>
        <w:rPr>
          <w:rFonts w:ascii="Arial" w:hAnsi="Arial" w:cs="Arial"/>
          <w:b/>
          <w:bCs/>
          <w:color w:val="990033"/>
          <w:sz w:val="22"/>
          <w:szCs w:val="22"/>
          <w:lang w:val="sk-SK"/>
        </w:rPr>
      </w:pPr>
      <w:r w:rsidRPr="00F362E0">
        <w:rPr>
          <w:rFonts w:ascii="Arial" w:hAnsi="Arial" w:cs="Arial"/>
          <w:b/>
          <w:bCs/>
          <w:color w:val="990033"/>
          <w:sz w:val="22"/>
          <w:szCs w:val="22"/>
          <w:lang w:val="sk-SK"/>
        </w:rPr>
        <w:t>„LEX PLUS LAUDATUR, QUANDO RATIONE PROBATUR“</w:t>
      </w:r>
    </w:p>
    <w:p w:rsidR="00F362E0" w:rsidRPr="00F362E0" w:rsidRDefault="00F362E0" w:rsidP="00F362E0">
      <w:pPr>
        <w:spacing w:line="276" w:lineRule="auto"/>
        <w:rPr>
          <w:rFonts w:ascii="Arial" w:hAnsi="Arial" w:cs="Arial"/>
          <w:b/>
          <w:bCs/>
          <w:sz w:val="22"/>
          <w:szCs w:val="22"/>
          <w:lang w:val="sk-SK"/>
        </w:rPr>
      </w:pPr>
      <w:r w:rsidRPr="00F362E0">
        <w:rPr>
          <w:rFonts w:ascii="Arial" w:hAnsi="Arial" w:cs="Arial"/>
          <w:b/>
          <w:bCs/>
          <w:sz w:val="22"/>
          <w:szCs w:val="22"/>
          <w:lang w:val="sk-SK"/>
        </w:rPr>
        <w:t>Bez koncepcie financovania neexistuje žiadna koncepcia a akékoľvek kompetencie sú reálne, len ak sú vykonateľné!</w:t>
      </w:r>
    </w:p>
    <w:p w:rsidR="00F362E0" w:rsidRDefault="00F362E0" w:rsidP="00F362E0">
      <w:pPr>
        <w:spacing w:line="276" w:lineRule="auto"/>
        <w:rPr>
          <w:rFonts w:ascii="Arial" w:hAnsi="Arial" w:cs="Arial"/>
          <w:b/>
          <w:bCs/>
          <w:sz w:val="22"/>
          <w:szCs w:val="22"/>
          <w:lang w:val="sk-SK"/>
        </w:rPr>
      </w:pPr>
    </w:p>
    <w:p w:rsidR="00F362E0" w:rsidRPr="00F362E0" w:rsidRDefault="00F362E0" w:rsidP="00F362E0">
      <w:pPr>
        <w:spacing w:line="276" w:lineRule="auto"/>
        <w:rPr>
          <w:rFonts w:ascii="Arial" w:hAnsi="Arial" w:cs="Arial"/>
          <w:b/>
          <w:bCs/>
          <w:sz w:val="22"/>
          <w:szCs w:val="22"/>
          <w:lang w:val="sk-SK"/>
        </w:rPr>
      </w:pPr>
      <w:r w:rsidRPr="00F362E0">
        <w:rPr>
          <w:rFonts w:ascii="Arial" w:hAnsi="Arial" w:cs="Arial"/>
          <w:b/>
          <w:bCs/>
          <w:sz w:val="22"/>
          <w:szCs w:val="22"/>
          <w:lang w:val="sk-SK"/>
        </w:rPr>
        <w:t xml:space="preserve">Predvídateľné financovanie </w:t>
      </w:r>
      <w:r w:rsidRPr="00F362E0">
        <w:rPr>
          <w:rFonts w:ascii="Arial" w:hAnsi="Arial" w:cs="Arial"/>
          <w:bCs/>
          <w:sz w:val="22"/>
          <w:szCs w:val="22"/>
          <w:lang w:val="sk-SK"/>
        </w:rPr>
        <w:t>= krytie investícií (personálna obnova, kapacity, rozvoj medicíny + integrácia ZS) + krytie špecificky zvýšených prevádzkových nákladov (dostupnosť, rómske komunity, starostlivosť v DSS)</w:t>
      </w:r>
      <w:r w:rsidRPr="00F362E0">
        <w:rPr>
          <w:rFonts w:ascii="Arial" w:hAnsi="Arial" w:cs="Arial"/>
          <w:b/>
          <w:bCs/>
          <w:sz w:val="22"/>
          <w:szCs w:val="22"/>
          <w:lang w:val="sk-SK"/>
        </w:rPr>
        <w:t xml:space="preserve"> </w:t>
      </w:r>
    </w:p>
    <w:p w:rsidR="00F362E0" w:rsidRPr="00F362E0" w:rsidRDefault="00F362E0" w:rsidP="00F362E0">
      <w:pPr>
        <w:pBdr>
          <w:bottom w:val="single" w:sz="6" w:space="1" w:color="auto"/>
        </w:pBdr>
        <w:spacing w:line="276" w:lineRule="auto"/>
        <w:rPr>
          <w:rFonts w:ascii="Arial" w:hAnsi="Arial" w:cs="Arial"/>
          <w:b/>
          <w:bCs/>
          <w:sz w:val="22"/>
          <w:szCs w:val="22"/>
          <w:lang w:val="sk-SK"/>
        </w:rPr>
      </w:pPr>
    </w:p>
    <w:p w:rsidR="00F362E0" w:rsidRDefault="00F362E0" w:rsidP="00F362E0">
      <w:pPr>
        <w:spacing w:line="276" w:lineRule="auto"/>
        <w:rPr>
          <w:rFonts w:ascii="Arial" w:hAnsi="Arial" w:cs="Arial"/>
          <w:b/>
          <w:bCs/>
          <w:sz w:val="22"/>
          <w:szCs w:val="22"/>
          <w:lang w:val="sk-SK"/>
        </w:rPr>
      </w:pPr>
    </w:p>
    <w:p w:rsidR="00F362E0" w:rsidRPr="00714279" w:rsidRDefault="00F362E0" w:rsidP="00F362E0">
      <w:pPr>
        <w:spacing w:line="276" w:lineRule="auto"/>
        <w:rPr>
          <w:rFonts w:ascii="Arial" w:hAnsi="Arial" w:cs="Arial"/>
          <w:b/>
          <w:bCs/>
          <w:color w:val="7030A0"/>
          <w:sz w:val="22"/>
          <w:szCs w:val="22"/>
          <w:lang w:val="sk-SK"/>
        </w:rPr>
      </w:pPr>
      <w:r w:rsidRPr="00714279">
        <w:rPr>
          <w:rFonts w:ascii="Arial" w:hAnsi="Arial" w:cs="Arial"/>
          <w:b/>
          <w:bCs/>
          <w:color w:val="7030A0"/>
          <w:sz w:val="22"/>
          <w:szCs w:val="22"/>
          <w:lang w:val="sk-SK"/>
        </w:rPr>
        <w:t>Čo dodať na záver? Dovolím si citovať konštatovanie z textu WHO – Health 2020, European policy framework and strategy for the 21 century, 09/2012:</w:t>
      </w:r>
    </w:p>
    <w:p w:rsidR="00971AF6" w:rsidRPr="00F362E0" w:rsidRDefault="00971AF6" w:rsidP="00F362E0">
      <w:pPr>
        <w:spacing w:line="276" w:lineRule="auto"/>
        <w:rPr>
          <w:rFonts w:ascii="Arial" w:hAnsi="Arial" w:cs="Arial"/>
          <w:b/>
          <w:bCs/>
          <w:sz w:val="22"/>
          <w:szCs w:val="22"/>
          <w:lang w:val="sk-SK"/>
        </w:rPr>
      </w:pPr>
    </w:p>
    <w:p w:rsidR="00F362E0" w:rsidRPr="00F362E0" w:rsidRDefault="00F362E0" w:rsidP="00F362E0">
      <w:pPr>
        <w:numPr>
          <w:ilvl w:val="0"/>
          <w:numId w:val="34"/>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„V niektorých krajinách brzdí rozvoj verejného zdravotníctva nedostatok politickej vôle. Systém, ktorý ovládajú špecialisti, ktorého jadrom je nemocničná starostlivosť je veľmi nákladný a nereaguje na dôležité zdravotné potreby. </w:t>
      </w:r>
    </w:p>
    <w:p w:rsidR="00F362E0" w:rsidRPr="00F362E0" w:rsidRDefault="00F362E0" w:rsidP="00F362E0">
      <w:pPr>
        <w:numPr>
          <w:ilvl w:val="0"/>
          <w:numId w:val="34"/>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Primárna starostlivosť má v mnohých krajinách ťažkosti, rieši len čiastkové problémy, nevyužíva tímovú prácu, nie je rešpektovaná, má slabú väzbu na vyššie úrovne ZS a je podfinancovaná. </w:t>
      </w:r>
    </w:p>
    <w:p w:rsidR="00F362E0" w:rsidRPr="00F362E0" w:rsidRDefault="00F362E0" w:rsidP="00F362E0">
      <w:pPr>
        <w:numPr>
          <w:ilvl w:val="0"/>
          <w:numId w:val="34"/>
        </w:numPr>
        <w:spacing w:after="200" w:line="276" w:lineRule="auto"/>
        <w:rPr>
          <w:rFonts w:ascii="Arial" w:hAnsi="Arial" w:cs="Arial"/>
          <w:bCs/>
          <w:sz w:val="22"/>
          <w:szCs w:val="22"/>
          <w:lang w:val="sk-SK"/>
        </w:rPr>
      </w:pPr>
      <w:r w:rsidRPr="00F362E0">
        <w:rPr>
          <w:rFonts w:ascii="Arial" w:hAnsi="Arial" w:cs="Arial"/>
          <w:bCs/>
          <w:sz w:val="22"/>
          <w:szCs w:val="22"/>
          <w:lang w:val="sk-SK"/>
        </w:rPr>
        <w:t xml:space="preserve">Tieto okolnosti vedú k nevyváženému financovaniu ZS, mocenským bojom medzi zdravotníkmi, ktorých výsledkom je preferencia akútnych terapeutických služieb a nákladných, technicky komplikovaných diagnostických metód na úkor primárnej starostlivosti, podpory zdravia a sociálnej starostlivosti. </w:t>
      </w:r>
    </w:p>
    <w:p w:rsidR="00F362E0" w:rsidRPr="00F362E0" w:rsidRDefault="00F362E0" w:rsidP="00F362E0">
      <w:pPr>
        <w:pBdr>
          <w:bottom w:val="single" w:sz="6" w:space="1" w:color="auto"/>
        </w:pBdr>
        <w:spacing w:line="276" w:lineRule="auto"/>
        <w:rPr>
          <w:rFonts w:ascii="Arial" w:hAnsi="Arial" w:cs="Arial"/>
          <w:b/>
          <w:bCs/>
          <w:lang w:val="sk-SK"/>
        </w:rPr>
      </w:pPr>
    </w:p>
    <w:p w:rsidR="005430FD" w:rsidRDefault="005430FD" w:rsidP="00F362E0">
      <w:pPr>
        <w:spacing w:line="276" w:lineRule="auto"/>
        <w:rPr>
          <w:rFonts w:ascii="Arial" w:hAnsi="Arial" w:cs="Arial"/>
          <w:b/>
          <w:bCs/>
          <w:color w:val="990033"/>
          <w:lang w:val="sk-SK"/>
        </w:rPr>
      </w:pPr>
    </w:p>
    <w:p w:rsidR="005430FD" w:rsidRDefault="005430FD" w:rsidP="00706821">
      <w:pPr>
        <w:spacing w:line="276" w:lineRule="auto"/>
        <w:rPr>
          <w:rFonts w:ascii="Arial" w:hAnsi="Arial" w:cs="Arial"/>
          <w:b/>
          <w:bCs/>
          <w:color w:val="990033"/>
          <w:sz w:val="22"/>
          <w:szCs w:val="22"/>
        </w:rPr>
      </w:pPr>
    </w:p>
    <w:p w:rsidR="00706821" w:rsidRPr="00706821" w:rsidRDefault="00706821" w:rsidP="00706821">
      <w:pPr>
        <w:spacing w:line="276" w:lineRule="auto"/>
        <w:rPr>
          <w:rFonts w:ascii="Arial" w:hAnsi="Arial" w:cs="Arial"/>
          <w:b/>
          <w:bCs/>
          <w:color w:val="990033"/>
          <w:sz w:val="22"/>
          <w:szCs w:val="22"/>
        </w:rPr>
      </w:pPr>
      <w:r w:rsidRPr="00706821">
        <w:rPr>
          <w:rFonts w:ascii="Arial" w:hAnsi="Arial" w:cs="Arial"/>
          <w:b/>
          <w:bCs/>
          <w:color w:val="990033"/>
          <w:sz w:val="22"/>
          <w:szCs w:val="22"/>
        </w:rPr>
        <w:t>Z ČOHO SME PRI PRÍPRAVE TE</w:t>
      </w:r>
      <w:r w:rsidR="005430FD">
        <w:rPr>
          <w:rFonts w:ascii="Arial" w:hAnsi="Arial" w:cs="Arial"/>
          <w:b/>
          <w:bCs/>
          <w:color w:val="990033"/>
          <w:sz w:val="22"/>
          <w:szCs w:val="22"/>
        </w:rPr>
        <w:t>XTOVÉHO ZNENIA LEGISLATÍVY VYCHÁ</w:t>
      </w:r>
      <w:r w:rsidRPr="00706821">
        <w:rPr>
          <w:rFonts w:ascii="Arial" w:hAnsi="Arial" w:cs="Arial"/>
          <w:b/>
          <w:bCs/>
          <w:color w:val="990033"/>
          <w:sz w:val="22"/>
          <w:szCs w:val="22"/>
        </w:rPr>
        <w:t>DZALI?</w:t>
      </w:r>
    </w:p>
    <w:p w:rsidR="009B3CBC" w:rsidRDefault="009B3CBC" w:rsidP="009B3CBC">
      <w:pPr>
        <w:contextualSpacing/>
        <w:rPr>
          <w:rFonts w:asciiTheme="majorHAnsi" w:hAnsiTheme="majorHAnsi"/>
          <w:b/>
          <w:color w:val="7030A0"/>
          <w:sz w:val="32"/>
          <w:szCs w:val="3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1. požiadavka na rozširovanie kompetencií VLD</w:t>
      </w:r>
      <w:r w:rsidRPr="005430FD">
        <w:rPr>
          <w:rFonts w:ascii="Arial" w:hAnsi="Arial" w:cs="Arial"/>
          <w:sz w:val="22"/>
          <w:szCs w:val="22"/>
          <w:lang w:val="sk-SK"/>
        </w:rPr>
        <w:t xml:space="preserve"> musí byť zabezpečená zodpovedajúcim úhradovým mechanizmom, podporujúcim najmä vykonateľnosť kompetencií, teda finančné krytie nákladov súvisiacich najmä s personálnym zabezpečením ambulancií VLD, včítane doplnenia a obnovy personálnych kapacít lekárov a sestier. </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2. z hľadiska všeobecnej akceptácie úhradového mechanizmu</w:t>
      </w:r>
      <w:r w:rsidRPr="005430FD">
        <w:rPr>
          <w:rFonts w:ascii="Arial" w:hAnsi="Arial" w:cs="Arial"/>
          <w:sz w:val="22"/>
          <w:szCs w:val="22"/>
          <w:lang w:val="sk-SK"/>
        </w:rPr>
        <w:t>, sa javí ako najvhodnejšie riešenie zakotvenie v zákone – podobne ako v prípade APS, ZZS a urgentných príjmov, s odvolaním na osobitné postavenie poskytovateľov všeobecnej ambulantnej starostlivosti, ako povinných uzatvoriť zmluvu o poskytovaní ZS so ZP.</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 xml:space="preserve">3. </w:t>
      </w:r>
      <w:r w:rsidRPr="005430FD">
        <w:rPr>
          <w:rFonts w:ascii="Arial" w:hAnsi="Arial" w:cs="Arial"/>
          <w:sz w:val="22"/>
          <w:szCs w:val="22"/>
          <w:lang w:val="sk-SK"/>
        </w:rPr>
        <w:t xml:space="preserve">Úprava úhradového mechanizmu pre ambulancie VLD formou zákonnej normy je žiaduca aj z hľadiska požiadavky na zjednotenie nateraz rôznych úhradových mechanizmov, presadzovaných jednotlivými poisťovňami.  Zjednotenie pravidiel úhrad za poskytovanú ZS zjednoduší  </w:t>
      </w:r>
      <w:r w:rsidRPr="005430FD">
        <w:rPr>
          <w:rFonts w:ascii="Arial" w:hAnsi="Arial" w:cs="Arial"/>
          <w:b/>
          <w:sz w:val="22"/>
          <w:szCs w:val="22"/>
          <w:lang w:val="sk-SK"/>
        </w:rPr>
        <w:t>kontrolu a riadenie objemu, ako aj kvality poskytovanej ZS</w:t>
      </w:r>
      <w:r w:rsidRPr="005430FD">
        <w:rPr>
          <w:rFonts w:ascii="Arial" w:hAnsi="Arial" w:cs="Arial"/>
          <w:sz w:val="22"/>
          <w:szCs w:val="22"/>
          <w:lang w:val="sk-SK"/>
        </w:rPr>
        <w:t xml:space="preserve"> a zabezpečí súlad s požiadavkami ŠDTP.</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4. Zjednotený úhradový mechanizmus musí byť prehľadný</w:t>
      </w:r>
      <w:r w:rsidRPr="005430FD">
        <w:rPr>
          <w:rFonts w:ascii="Arial" w:hAnsi="Arial" w:cs="Arial"/>
          <w:sz w:val="22"/>
          <w:szCs w:val="22"/>
          <w:lang w:val="sk-SK"/>
        </w:rPr>
        <w:t xml:space="preserve"> a jednoduchý s uplatnením princípu kapitačno – výkonového financovania ambulancií VLD. Znamená použiť čo najmenší  počet parametrov určujúcich spôsob výpočtu paušálnej úhrady s vylúčením podmieňujúceho vplyvu vonkajších  faktorov na jej výpočet a určenie adekvátneho rozsahu zoznamu výkonov uhrádzaných nad rámec paušálnej úhrady, a to čo do počtu výkonov, ako aj ich obsahu.</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5. Do zoznamu výkonov</w:t>
      </w:r>
      <w:r w:rsidRPr="005430FD">
        <w:rPr>
          <w:rFonts w:ascii="Arial" w:hAnsi="Arial" w:cs="Arial"/>
          <w:sz w:val="22"/>
          <w:szCs w:val="22"/>
          <w:lang w:val="sk-SK"/>
        </w:rPr>
        <w:t xml:space="preserve"> navrhujeme prevziať vybrané výkony zo súčasného zoznamov výkonov jednotlivých zdravotných poisťovní a v potrebnom rozsahu primerane upraviť formulácie obsahu výkonov po odstránení sporných formulácií  a zjednotení označenia výkonov. </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b/>
          <w:sz w:val="22"/>
          <w:szCs w:val="22"/>
          <w:lang w:val="sk-SK"/>
        </w:rPr>
      </w:pPr>
      <w:r w:rsidRPr="005430FD">
        <w:rPr>
          <w:rFonts w:ascii="Arial" w:hAnsi="Arial" w:cs="Arial"/>
          <w:b/>
          <w:sz w:val="22"/>
          <w:szCs w:val="22"/>
          <w:lang w:val="sk-SK"/>
        </w:rPr>
        <w:t>6.</w:t>
      </w:r>
      <w:r w:rsidRPr="005430FD">
        <w:rPr>
          <w:rFonts w:ascii="Arial" w:hAnsi="Arial" w:cs="Arial"/>
          <w:sz w:val="22"/>
          <w:szCs w:val="22"/>
          <w:lang w:val="sk-SK"/>
        </w:rPr>
        <w:t xml:space="preserve"> Pri údržbe a obnovovaní úhradového mechanizmu ustanoveného zákonnou normou a stanovovaní minimálnych jednotkových cien </w:t>
      </w:r>
      <w:r w:rsidRPr="005430FD">
        <w:rPr>
          <w:rFonts w:ascii="Arial" w:hAnsi="Arial" w:cs="Arial"/>
          <w:b/>
          <w:sz w:val="22"/>
          <w:szCs w:val="22"/>
          <w:lang w:val="sk-SK"/>
        </w:rPr>
        <w:t>musí byť zákonom zabezpečená účasť  VLD.</w:t>
      </w:r>
    </w:p>
    <w:p w:rsidR="009B3CBC" w:rsidRPr="005430FD" w:rsidRDefault="009B3CBC" w:rsidP="000962DD">
      <w:pPr>
        <w:spacing w:line="276" w:lineRule="auto"/>
        <w:contextualSpacing/>
        <w:rPr>
          <w:rFonts w:ascii="Arial" w:hAnsi="Arial" w:cs="Arial"/>
          <w:sz w:val="22"/>
          <w:szCs w:val="22"/>
          <w:lang w:val="sk-SK"/>
        </w:rPr>
      </w:pPr>
    </w:p>
    <w:p w:rsidR="009B3CBC" w:rsidRPr="005430FD" w:rsidRDefault="009B3CBC" w:rsidP="000962DD">
      <w:pPr>
        <w:spacing w:line="276" w:lineRule="auto"/>
        <w:contextualSpacing/>
        <w:rPr>
          <w:rFonts w:ascii="Arial" w:hAnsi="Arial" w:cs="Arial"/>
          <w:sz w:val="22"/>
          <w:szCs w:val="22"/>
          <w:lang w:val="sk-SK"/>
        </w:rPr>
      </w:pPr>
      <w:r w:rsidRPr="005430FD">
        <w:rPr>
          <w:rFonts w:ascii="Arial" w:hAnsi="Arial" w:cs="Arial"/>
          <w:b/>
          <w:sz w:val="22"/>
          <w:szCs w:val="22"/>
          <w:lang w:val="sk-SK"/>
        </w:rPr>
        <w:t>7. Kapitačno – výkonový princíp</w:t>
      </w:r>
      <w:r w:rsidRPr="005430FD">
        <w:rPr>
          <w:rFonts w:ascii="Arial" w:hAnsi="Arial" w:cs="Arial"/>
          <w:sz w:val="22"/>
          <w:szCs w:val="22"/>
          <w:lang w:val="sk-SK"/>
        </w:rPr>
        <w:t xml:space="preserve"> pri výpočte paušálnej úhrady (kapitačnej platby) navrhujeme uplatniť formou nasledujúcich premenných (parametrov K-V platby):</w:t>
      </w:r>
    </w:p>
    <w:p w:rsidR="009B3CBC" w:rsidRPr="005430FD" w:rsidRDefault="009B3CBC" w:rsidP="009B3CBC">
      <w:pPr>
        <w:contextualSpacing/>
        <w:rPr>
          <w:rFonts w:ascii="Arial" w:hAnsi="Arial" w:cs="Arial"/>
          <w:sz w:val="22"/>
          <w:szCs w:val="22"/>
          <w:lang w:val="sk-SK"/>
        </w:rPr>
      </w:pP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1/</w:t>
      </w:r>
      <w:r w:rsidRPr="005430FD">
        <w:rPr>
          <w:rFonts w:ascii="Arial" w:hAnsi="Arial" w:cs="Arial"/>
          <w:sz w:val="22"/>
          <w:szCs w:val="22"/>
          <w:lang w:val="sk-SK"/>
        </w:rPr>
        <w:t xml:space="preserve"> výkon preventívnych prehliadok (% z celkového počtu kapitovaných)</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2/</w:t>
      </w:r>
      <w:r w:rsidRPr="005430FD">
        <w:rPr>
          <w:rFonts w:ascii="Arial" w:hAnsi="Arial" w:cs="Arial"/>
          <w:sz w:val="22"/>
          <w:szCs w:val="22"/>
          <w:lang w:val="sk-SK"/>
        </w:rPr>
        <w:t xml:space="preserve"> starostlivosť o chronické ochorenia (% výkonov z celkového počtu výkonov)</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3/</w:t>
      </w:r>
      <w:r w:rsidRPr="005430FD">
        <w:rPr>
          <w:rFonts w:ascii="Arial" w:hAnsi="Arial" w:cs="Arial"/>
          <w:sz w:val="22"/>
          <w:szCs w:val="22"/>
          <w:lang w:val="sk-SK"/>
        </w:rPr>
        <w:t xml:space="preserve"> počet kapitovaných pacientov na ambulanciu (systémová efektivita ambulancie)</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4/</w:t>
      </w:r>
      <w:r w:rsidRPr="005430FD">
        <w:rPr>
          <w:rFonts w:ascii="Arial" w:hAnsi="Arial" w:cs="Arial"/>
          <w:sz w:val="22"/>
          <w:szCs w:val="22"/>
          <w:lang w:val="sk-SK"/>
        </w:rPr>
        <w:t xml:space="preserve"> ordinačné hodiny – malus za menej ako 35h </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5/ bonus za integráciu amulancie VLD:</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sz w:val="22"/>
          <w:szCs w:val="22"/>
          <w:lang w:val="sk-SK"/>
        </w:rPr>
        <w:t>5.1/ 2,0 a viac sestier na ambulanciu VLD</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sz w:val="22"/>
          <w:szCs w:val="22"/>
          <w:lang w:val="sk-SK"/>
        </w:rPr>
        <w:t>5.2/ 2,0 a viac lekárov na ambulanciu VLD</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6/</w:t>
      </w:r>
      <w:r w:rsidRPr="005430FD">
        <w:rPr>
          <w:rFonts w:ascii="Arial" w:hAnsi="Arial" w:cs="Arial"/>
          <w:sz w:val="22"/>
          <w:szCs w:val="22"/>
          <w:lang w:val="sk-SK"/>
        </w:rPr>
        <w:t xml:space="preserve"> starostlivosť o DSS</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7/</w:t>
      </w:r>
      <w:r w:rsidRPr="005430FD">
        <w:rPr>
          <w:rFonts w:ascii="Arial" w:hAnsi="Arial" w:cs="Arial"/>
          <w:sz w:val="22"/>
          <w:szCs w:val="22"/>
          <w:lang w:val="sk-SK"/>
        </w:rPr>
        <w:t xml:space="preserve"> starostlivosť v oblastiach so zníženou dostupnosťou</w:t>
      </w:r>
    </w:p>
    <w:p w:rsidR="009B3CBC" w:rsidRPr="005430FD" w:rsidRDefault="009B3CBC" w:rsidP="005430FD">
      <w:pPr>
        <w:numPr>
          <w:ilvl w:val="0"/>
          <w:numId w:val="3"/>
        </w:numPr>
        <w:spacing w:after="200" w:line="360" w:lineRule="auto"/>
        <w:ind w:right="-289"/>
        <w:contextualSpacing/>
        <w:rPr>
          <w:rFonts w:ascii="Arial" w:hAnsi="Arial" w:cs="Arial"/>
          <w:sz w:val="22"/>
          <w:szCs w:val="22"/>
          <w:lang w:val="sk-SK"/>
        </w:rPr>
      </w:pPr>
      <w:r w:rsidRPr="005430FD">
        <w:rPr>
          <w:rFonts w:ascii="Arial" w:hAnsi="Arial" w:cs="Arial"/>
          <w:b/>
          <w:bCs/>
          <w:sz w:val="22"/>
          <w:szCs w:val="22"/>
          <w:lang w:val="sk-SK"/>
        </w:rPr>
        <w:t>8/</w:t>
      </w:r>
      <w:r w:rsidRPr="005430FD">
        <w:rPr>
          <w:rFonts w:ascii="Arial" w:hAnsi="Arial" w:cs="Arial"/>
          <w:sz w:val="22"/>
          <w:szCs w:val="22"/>
          <w:lang w:val="sk-SK"/>
        </w:rPr>
        <w:t xml:space="preserve"> starostlivosť o margianalizované komunity </w:t>
      </w:r>
    </w:p>
    <w:p w:rsidR="009B3CBC" w:rsidRPr="005430FD" w:rsidRDefault="009B3CBC" w:rsidP="009B3CBC">
      <w:pPr>
        <w:ind w:left="720"/>
        <w:contextualSpacing/>
        <w:rPr>
          <w:rFonts w:ascii="Arial" w:hAnsi="Arial" w:cs="Arial"/>
          <w:sz w:val="22"/>
          <w:szCs w:val="22"/>
          <w:lang w:val="sk-SK"/>
        </w:rPr>
      </w:pPr>
    </w:p>
    <w:p w:rsidR="009B3CBC" w:rsidRPr="005430FD" w:rsidRDefault="009B3CBC" w:rsidP="009B3CBC">
      <w:pPr>
        <w:contextualSpacing/>
        <w:rPr>
          <w:rFonts w:ascii="Arial" w:hAnsi="Arial" w:cs="Arial"/>
          <w:sz w:val="22"/>
          <w:szCs w:val="22"/>
          <w:lang w:val="sk-SK"/>
        </w:rPr>
      </w:pPr>
      <w:r w:rsidRPr="005430FD">
        <w:rPr>
          <w:rFonts w:ascii="Arial" w:hAnsi="Arial" w:cs="Arial"/>
          <w:sz w:val="22"/>
          <w:szCs w:val="22"/>
          <w:lang w:val="sk-SK"/>
        </w:rPr>
        <w:t>Pričom:</w:t>
      </w:r>
    </w:p>
    <w:p w:rsidR="009B3CBC" w:rsidRPr="005430FD" w:rsidRDefault="009B3CBC" w:rsidP="005430FD">
      <w:pPr>
        <w:pStyle w:val="Odsekzoznamu"/>
        <w:numPr>
          <w:ilvl w:val="0"/>
          <w:numId w:val="4"/>
        </w:numPr>
        <w:spacing w:line="360" w:lineRule="auto"/>
        <w:rPr>
          <w:rFonts w:ascii="Arial" w:hAnsi="Arial" w:cs="Arial"/>
        </w:rPr>
      </w:pPr>
      <w:r w:rsidRPr="005430FD">
        <w:rPr>
          <w:rFonts w:ascii="Arial" w:hAnsi="Arial" w:cs="Arial"/>
        </w:rPr>
        <w:t>body 1.-4.sú bonifikáciou za výkon vo väzbe na celkovú základnú kapitačnú platbu (suma za všetky vekové kategórie)</w:t>
      </w:r>
    </w:p>
    <w:p w:rsidR="009B3CBC" w:rsidRPr="005430FD" w:rsidRDefault="009B3CBC" w:rsidP="005430FD">
      <w:pPr>
        <w:pStyle w:val="Odsekzoznamu"/>
        <w:numPr>
          <w:ilvl w:val="0"/>
          <w:numId w:val="4"/>
        </w:numPr>
        <w:spacing w:line="360" w:lineRule="auto"/>
        <w:rPr>
          <w:rFonts w:ascii="Arial" w:hAnsi="Arial" w:cs="Arial"/>
        </w:rPr>
      </w:pPr>
      <w:r w:rsidRPr="005430FD">
        <w:rPr>
          <w:rFonts w:ascii="Arial" w:hAnsi="Arial" w:cs="Arial"/>
        </w:rPr>
        <w:t>body 5.-8.sú bonifikáciou vo väzbe na počet kapitantov a status kapitantov.</w:t>
      </w:r>
    </w:p>
    <w:p w:rsidR="009B3CBC" w:rsidRDefault="009B3CBC" w:rsidP="009B3CBC">
      <w:pPr>
        <w:contextualSpacing/>
        <w:rPr>
          <w:rFonts w:ascii="Calibri" w:hAnsi="Calibri"/>
          <w:sz w:val="22"/>
          <w:szCs w:val="22"/>
          <w:lang w:val="sk-SK"/>
        </w:rPr>
      </w:pPr>
    </w:p>
    <w:p w:rsidR="00C06C20" w:rsidRPr="005430FD" w:rsidRDefault="00C06C20" w:rsidP="00C06C20">
      <w:pPr>
        <w:contextualSpacing/>
        <w:rPr>
          <w:rFonts w:ascii="Arial" w:hAnsi="Arial" w:cs="Arial"/>
          <w:b/>
          <w:color w:val="FF0000"/>
          <w:sz w:val="22"/>
          <w:szCs w:val="22"/>
          <w:lang w:val="sk-SK"/>
        </w:rPr>
      </w:pPr>
      <w:r w:rsidRPr="005430FD">
        <w:rPr>
          <w:rFonts w:ascii="Arial" w:hAnsi="Arial" w:cs="Arial"/>
          <w:b/>
          <w:color w:val="FF0000"/>
          <w:sz w:val="22"/>
          <w:szCs w:val="22"/>
          <w:lang w:val="sk-SK"/>
        </w:rPr>
        <w:t>7.1</w:t>
      </w:r>
      <w:r w:rsidRPr="005430FD">
        <w:rPr>
          <w:rFonts w:ascii="Arial" w:hAnsi="Arial" w:cs="Arial"/>
          <w:color w:val="FF0000"/>
          <w:sz w:val="22"/>
          <w:szCs w:val="22"/>
          <w:lang w:val="sk-SK"/>
        </w:rPr>
        <w:t xml:space="preserve">. </w:t>
      </w:r>
      <w:r w:rsidRPr="005430FD">
        <w:rPr>
          <w:rFonts w:ascii="Arial" w:hAnsi="Arial" w:cs="Arial"/>
          <w:b/>
          <w:color w:val="FF0000"/>
          <w:sz w:val="22"/>
          <w:szCs w:val="22"/>
          <w:lang w:val="sk-SK"/>
        </w:rPr>
        <w:t xml:space="preserve">výkon preventívnych prehliadok = preventívna výkonnosť </w:t>
      </w:r>
    </w:p>
    <w:p w:rsidR="00C06C20" w:rsidRDefault="00C06C20" w:rsidP="00C06C20">
      <w:pPr>
        <w:ind w:right="-6"/>
        <w:contextualSpacing/>
        <w:rPr>
          <w:rFonts w:ascii="Calibri" w:hAnsi="Calibri"/>
          <w:sz w:val="22"/>
          <w:szCs w:val="22"/>
          <w:lang w:val="sk-SK"/>
        </w:rPr>
      </w:pPr>
    </w:p>
    <w:p w:rsidR="00C06C20" w:rsidRPr="009B3CBC" w:rsidRDefault="00714279" w:rsidP="00C06C20">
      <w:pPr>
        <w:ind w:right="-6"/>
        <w:contextualSpacing/>
        <w:rPr>
          <w:rFonts w:ascii="Calibri" w:hAnsi="Calibri"/>
          <w:b/>
          <w:color w:val="FF0000"/>
          <w:sz w:val="22"/>
          <w:szCs w:val="22"/>
          <w:lang w:val="sk-SK"/>
        </w:rPr>
      </w:pPr>
      <w:r>
        <w:rPr>
          <w:rFonts w:ascii="Calibri" w:hAnsi="Calibri"/>
          <w:sz w:val="22"/>
          <w:szCs w:val="22"/>
          <w:lang w:val="sk-SK"/>
        </w:rPr>
        <w:t xml:space="preserve">Navrhujeme </w:t>
      </w:r>
      <w:r w:rsidR="00C06C20" w:rsidRPr="009B3CBC">
        <w:rPr>
          <w:rFonts w:ascii="Calibri" w:hAnsi="Calibri"/>
          <w:sz w:val="22"/>
          <w:szCs w:val="22"/>
          <w:lang w:val="sk-SK"/>
        </w:rPr>
        <w:t>ako pomer vykonaných preventívnych prehliadok  (p</w:t>
      </w:r>
      <w:r w:rsidR="00C06C20">
        <w:rPr>
          <w:rFonts w:ascii="Calibri" w:hAnsi="Calibri"/>
          <w:sz w:val="22"/>
          <w:szCs w:val="22"/>
          <w:lang w:val="sk-SK"/>
        </w:rPr>
        <w:t>r</w:t>
      </w:r>
      <w:r w:rsidR="00C06C20" w:rsidRPr="009B3CBC">
        <w:rPr>
          <w:rFonts w:ascii="Calibri" w:hAnsi="Calibri"/>
          <w:sz w:val="22"/>
          <w:szCs w:val="22"/>
          <w:lang w:val="sk-SK"/>
        </w:rPr>
        <w:t>p.) a celkového počtu kapitovaných pacientov, pričom sa dosiahnutý výsledok porovnáva s</w:t>
      </w:r>
      <w:r w:rsidR="00C06C20">
        <w:rPr>
          <w:rFonts w:ascii="Calibri" w:hAnsi="Calibri"/>
          <w:sz w:val="22"/>
          <w:szCs w:val="22"/>
          <w:lang w:val="sk-SK"/>
        </w:rPr>
        <w:t> </w:t>
      </w:r>
      <w:r w:rsidR="00C06C20" w:rsidRPr="002E1CCB">
        <w:rPr>
          <w:rFonts w:ascii="Calibri" w:hAnsi="Calibri"/>
          <w:sz w:val="22"/>
          <w:szCs w:val="22"/>
          <w:lang w:val="sk-SK"/>
        </w:rPr>
        <w:t>optimálnou preventívnou výkonnosťou.</w:t>
      </w:r>
    </w:p>
    <w:p w:rsidR="00C06C20" w:rsidRDefault="00C06C20" w:rsidP="00C06C20">
      <w:pPr>
        <w:ind w:right="-6"/>
        <w:contextualSpacing/>
        <w:rPr>
          <w:rFonts w:ascii="Calibri" w:hAnsi="Calibri"/>
          <w:b/>
          <w:sz w:val="22"/>
          <w:szCs w:val="22"/>
          <w:lang w:val="sk-SK"/>
        </w:rPr>
      </w:pPr>
    </w:p>
    <w:p w:rsidR="00C06C20" w:rsidRDefault="00C06C20" w:rsidP="00C06C20">
      <w:pPr>
        <w:ind w:right="-6"/>
        <w:contextualSpacing/>
        <w:rPr>
          <w:rFonts w:ascii="Calibri" w:hAnsi="Calibri"/>
          <w:sz w:val="22"/>
          <w:szCs w:val="22"/>
          <w:lang w:val="sk-SK"/>
        </w:rPr>
      </w:pPr>
      <w:r w:rsidRPr="002E1CCB">
        <w:rPr>
          <w:rFonts w:ascii="Calibri" w:hAnsi="Calibri"/>
          <w:b/>
          <w:sz w:val="22"/>
          <w:szCs w:val="22"/>
          <w:lang w:val="sk-SK"/>
        </w:rPr>
        <w:t>Optimálna preventívna výkonnosť</w:t>
      </w:r>
      <w:r w:rsidRPr="00012094">
        <w:rPr>
          <w:rFonts w:ascii="Calibri" w:hAnsi="Calibri"/>
          <w:sz w:val="22"/>
          <w:szCs w:val="22"/>
          <w:lang w:val="sk-SK"/>
        </w:rPr>
        <w:t xml:space="preserve"> je v (pripravovanom) zákone</w:t>
      </w:r>
      <w:r>
        <w:rPr>
          <w:rFonts w:ascii="Calibri" w:hAnsi="Calibri"/>
          <w:b/>
          <w:sz w:val="22"/>
          <w:szCs w:val="22"/>
          <w:lang w:val="sk-SK"/>
        </w:rPr>
        <w:t xml:space="preserve"> zavedená referenčná norma, </w:t>
      </w:r>
      <w:r w:rsidRPr="006B65E7">
        <w:rPr>
          <w:rFonts w:ascii="Calibri" w:hAnsi="Calibri"/>
          <w:sz w:val="22"/>
          <w:szCs w:val="22"/>
          <w:lang w:val="sk-SK"/>
        </w:rPr>
        <w:t>ktorá</w:t>
      </w:r>
      <w:r>
        <w:rPr>
          <w:rFonts w:ascii="Calibri" w:hAnsi="Calibri"/>
          <w:b/>
          <w:sz w:val="22"/>
          <w:szCs w:val="22"/>
          <w:lang w:val="sk-SK"/>
        </w:rPr>
        <w:t xml:space="preserve"> </w:t>
      </w:r>
      <w:r>
        <w:rPr>
          <w:rFonts w:ascii="Calibri" w:hAnsi="Calibri"/>
          <w:sz w:val="22"/>
          <w:szCs w:val="22"/>
          <w:lang w:val="sk-SK"/>
        </w:rPr>
        <w:t xml:space="preserve">zohľadňuje verejný záujem </w:t>
      </w:r>
      <w:r w:rsidRPr="009B3CBC">
        <w:rPr>
          <w:rFonts w:ascii="Calibri" w:hAnsi="Calibri"/>
          <w:sz w:val="22"/>
          <w:szCs w:val="22"/>
          <w:lang w:val="sk-SK"/>
        </w:rPr>
        <w:t>o</w:t>
      </w:r>
      <w:r>
        <w:rPr>
          <w:rFonts w:ascii="Calibri" w:hAnsi="Calibri"/>
          <w:sz w:val="22"/>
          <w:szCs w:val="22"/>
          <w:lang w:val="sk-SK"/>
        </w:rPr>
        <w:t> </w:t>
      </w:r>
      <w:r w:rsidRPr="009B3CBC">
        <w:rPr>
          <w:rFonts w:ascii="Calibri" w:hAnsi="Calibri"/>
          <w:sz w:val="22"/>
          <w:szCs w:val="22"/>
          <w:lang w:val="sk-SK"/>
        </w:rPr>
        <w:t>konkrétny</w:t>
      </w:r>
      <w:r>
        <w:rPr>
          <w:rFonts w:ascii="Calibri" w:hAnsi="Calibri"/>
          <w:sz w:val="22"/>
          <w:szCs w:val="22"/>
          <w:lang w:val="sk-SK"/>
        </w:rPr>
        <w:t>,</w:t>
      </w:r>
      <w:r w:rsidRPr="009B3CBC">
        <w:rPr>
          <w:rFonts w:ascii="Calibri" w:hAnsi="Calibri"/>
          <w:sz w:val="22"/>
          <w:szCs w:val="22"/>
          <w:lang w:val="sk-SK"/>
        </w:rPr>
        <w:t xml:space="preserve"> a čo najvyšší objem preventívnych výkonov pri známom počte čakateľov na preventívnu prehliadku (</w:t>
      </w:r>
      <w:r>
        <w:rPr>
          <w:rFonts w:ascii="Calibri" w:hAnsi="Calibri"/>
          <w:sz w:val="22"/>
          <w:szCs w:val="22"/>
          <w:lang w:val="sk-SK"/>
        </w:rPr>
        <w:t xml:space="preserve">demografický údaj o </w:t>
      </w:r>
      <w:r w:rsidRPr="009B3CBC">
        <w:rPr>
          <w:rFonts w:ascii="Calibri" w:hAnsi="Calibri"/>
          <w:sz w:val="22"/>
          <w:szCs w:val="22"/>
          <w:lang w:val="sk-SK"/>
        </w:rPr>
        <w:t>celkov</w:t>
      </w:r>
      <w:r>
        <w:rPr>
          <w:rFonts w:ascii="Calibri" w:hAnsi="Calibri"/>
          <w:sz w:val="22"/>
          <w:szCs w:val="22"/>
          <w:lang w:val="sk-SK"/>
        </w:rPr>
        <w:t>om počte dospelých obyvateľov</w:t>
      </w:r>
      <w:r w:rsidRPr="009B3CBC">
        <w:rPr>
          <w:rFonts w:ascii="Calibri" w:hAnsi="Calibri"/>
          <w:sz w:val="22"/>
          <w:szCs w:val="22"/>
          <w:lang w:val="sk-SK"/>
        </w:rPr>
        <w:t>)</w:t>
      </w:r>
      <w:r>
        <w:rPr>
          <w:rFonts w:ascii="Calibri" w:hAnsi="Calibri"/>
          <w:sz w:val="22"/>
          <w:szCs w:val="22"/>
          <w:lang w:val="sk-SK"/>
        </w:rPr>
        <w:t>, a je odvodená od:</w:t>
      </w:r>
    </w:p>
    <w:p w:rsidR="00C06C20" w:rsidRDefault="00C06C20" w:rsidP="00C06C20">
      <w:pPr>
        <w:ind w:right="-6"/>
        <w:contextualSpacing/>
        <w:rPr>
          <w:rFonts w:ascii="Calibri" w:hAnsi="Calibri"/>
          <w:sz w:val="22"/>
          <w:szCs w:val="22"/>
          <w:lang w:val="sk-SK"/>
        </w:rPr>
      </w:pPr>
    </w:p>
    <w:p w:rsidR="00C06C20" w:rsidRPr="006B65E7" w:rsidRDefault="00C06C20" w:rsidP="00C06C20">
      <w:pPr>
        <w:pStyle w:val="Odsekzoznamu"/>
        <w:numPr>
          <w:ilvl w:val="0"/>
          <w:numId w:val="26"/>
        </w:numPr>
        <w:spacing w:line="240" w:lineRule="auto"/>
        <w:ind w:left="1077" w:right="-6" w:hanging="357"/>
      </w:pPr>
      <w:r w:rsidRPr="006B65E7">
        <w:t xml:space="preserve">arbitrárne stanoveného optimálneho počtu pacientov na 1LM VLD </w:t>
      </w:r>
      <w:r w:rsidRPr="000B4DF7">
        <w:rPr>
          <w:b/>
        </w:rPr>
        <w:t>(1500) *</w:t>
      </w:r>
    </w:p>
    <w:p w:rsidR="00C06C20" w:rsidRPr="006B65E7" w:rsidRDefault="00C06C20" w:rsidP="00C06C20">
      <w:pPr>
        <w:pStyle w:val="Odsekzoznamu"/>
        <w:numPr>
          <w:ilvl w:val="0"/>
          <w:numId w:val="26"/>
        </w:numPr>
        <w:spacing w:line="240" w:lineRule="auto"/>
        <w:ind w:left="1077" w:right="-6" w:hanging="357"/>
      </w:pPr>
      <w:r w:rsidRPr="006B65E7">
        <w:t xml:space="preserve">arbitrárne stanoveného optimálneho výkonu preventívnych prehliadok </w:t>
      </w:r>
      <w:r w:rsidRPr="006B65E7">
        <w:rPr>
          <w:b/>
        </w:rPr>
        <w:t>(0,8)</w:t>
      </w:r>
      <w:r>
        <w:rPr>
          <w:b/>
        </w:rPr>
        <w:t xml:space="preserve"> </w:t>
      </w:r>
      <w:r>
        <w:t>**</w:t>
      </w:r>
      <w:r w:rsidRPr="006B65E7">
        <w:t xml:space="preserve">  </w:t>
      </w:r>
    </w:p>
    <w:p w:rsidR="00C06C20" w:rsidRDefault="00C06C20" w:rsidP="00C06C20">
      <w:pPr>
        <w:contextualSpacing/>
        <w:rPr>
          <w:rFonts w:ascii="Calibri" w:hAnsi="Calibri"/>
          <w:b/>
          <w:sz w:val="22"/>
          <w:szCs w:val="22"/>
          <w:lang w:val="sk-SK"/>
        </w:rPr>
      </w:pPr>
    </w:p>
    <w:p w:rsidR="00C06C20" w:rsidRDefault="00C06C20" w:rsidP="00C06C20">
      <w:pPr>
        <w:contextualSpacing/>
        <w:rPr>
          <w:rFonts w:ascii="Calibri" w:hAnsi="Calibri"/>
          <w:b/>
          <w:sz w:val="22"/>
          <w:szCs w:val="22"/>
          <w:lang w:val="sk-SK"/>
        </w:rPr>
      </w:pPr>
      <w:r w:rsidRPr="002E1CCB">
        <w:rPr>
          <w:rFonts w:ascii="Calibri" w:hAnsi="Calibri"/>
          <w:b/>
          <w:sz w:val="22"/>
          <w:szCs w:val="22"/>
          <w:lang w:val="sk-SK"/>
        </w:rPr>
        <w:t>7.1.1.</w:t>
      </w:r>
      <w:r>
        <w:rPr>
          <w:rFonts w:ascii="Calibri" w:hAnsi="Calibri"/>
          <w:sz w:val="22"/>
          <w:szCs w:val="22"/>
          <w:lang w:val="sk-SK"/>
        </w:rPr>
        <w:t xml:space="preserve"> Výpočet</w:t>
      </w:r>
      <w:r w:rsidRPr="009B3CBC">
        <w:rPr>
          <w:rFonts w:ascii="Calibri" w:hAnsi="Calibri"/>
          <w:sz w:val="22"/>
          <w:szCs w:val="22"/>
          <w:lang w:val="sk-SK"/>
        </w:rPr>
        <w:t xml:space="preserve"> </w:t>
      </w:r>
      <w:r>
        <w:rPr>
          <w:rFonts w:ascii="Calibri" w:hAnsi="Calibri"/>
          <w:b/>
          <w:sz w:val="22"/>
          <w:szCs w:val="22"/>
          <w:lang w:val="sk-SK"/>
        </w:rPr>
        <w:t xml:space="preserve">optimálnej preventívnej výkonnosti (OPV): </w:t>
      </w:r>
    </w:p>
    <w:p w:rsidR="00C06C20" w:rsidRPr="009B3CBC" w:rsidRDefault="00C06C20" w:rsidP="00C06C20">
      <w:pPr>
        <w:contextualSpacing/>
        <w:rPr>
          <w:rFonts w:ascii="Calibri" w:hAnsi="Calibri"/>
          <w:sz w:val="22"/>
          <w:szCs w:val="22"/>
          <w:lang w:val="sk-SK"/>
        </w:rPr>
      </w:pPr>
      <w:r w:rsidRPr="009B3CBC">
        <w:rPr>
          <w:rFonts w:ascii="Calibri" w:hAnsi="Calibri"/>
          <w:sz w:val="22"/>
          <w:szCs w:val="22"/>
          <w:lang w:val="sk-SK"/>
        </w:rPr>
        <w:t xml:space="preserve">1500 x 0,8 </w:t>
      </w:r>
      <w:r>
        <w:rPr>
          <w:rFonts w:ascii="Calibri" w:hAnsi="Calibri"/>
          <w:sz w:val="22"/>
          <w:szCs w:val="22"/>
          <w:lang w:val="sk-SK"/>
        </w:rPr>
        <w:t xml:space="preserve">/ 2 roky /12 mesiacov = </w:t>
      </w:r>
      <w:r w:rsidRPr="006B65E7">
        <w:rPr>
          <w:rFonts w:ascii="Calibri" w:hAnsi="Calibri"/>
          <w:b/>
          <w:sz w:val="22"/>
          <w:szCs w:val="22"/>
          <w:lang w:val="sk-SK"/>
        </w:rPr>
        <w:t>50p</w:t>
      </w:r>
      <w:r>
        <w:rPr>
          <w:rFonts w:ascii="Calibri" w:hAnsi="Calibri"/>
          <w:b/>
          <w:sz w:val="22"/>
          <w:szCs w:val="22"/>
          <w:lang w:val="sk-SK"/>
        </w:rPr>
        <w:t>r</w:t>
      </w:r>
      <w:r w:rsidRPr="006B65E7">
        <w:rPr>
          <w:rFonts w:ascii="Calibri" w:hAnsi="Calibri"/>
          <w:b/>
          <w:sz w:val="22"/>
          <w:szCs w:val="22"/>
          <w:lang w:val="sk-SK"/>
        </w:rPr>
        <w:t>p. / mesiac</w:t>
      </w:r>
      <w:r w:rsidRPr="009B3CBC">
        <w:rPr>
          <w:rFonts w:ascii="Calibri" w:hAnsi="Calibri"/>
          <w:sz w:val="22"/>
          <w:szCs w:val="22"/>
          <w:lang w:val="sk-SK"/>
        </w:rPr>
        <w:t xml:space="preserve">           (</w:t>
      </w:r>
      <w:r>
        <w:rPr>
          <w:rFonts w:ascii="Calibri" w:hAnsi="Calibri"/>
          <w:sz w:val="22"/>
          <w:szCs w:val="22"/>
          <w:lang w:val="sk-SK"/>
        </w:rPr>
        <w:t xml:space="preserve">pozn. </w:t>
      </w:r>
      <w:r w:rsidRPr="009B3CBC">
        <w:rPr>
          <w:rFonts w:ascii="Calibri" w:hAnsi="Calibri"/>
          <w:sz w:val="22"/>
          <w:szCs w:val="22"/>
          <w:lang w:val="sk-SK"/>
        </w:rPr>
        <w:t xml:space="preserve">2 roky </w:t>
      </w:r>
      <w:r>
        <w:rPr>
          <w:rFonts w:ascii="Calibri" w:hAnsi="Calibri"/>
          <w:sz w:val="22"/>
          <w:szCs w:val="22"/>
          <w:lang w:val="sk-SK"/>
        </w:rPr>
        <w:t xml:space="preserve">je </w:t>
      </w:r>
      <w:r w:rsidRPr="009B3CBC">
        <w:rPr>
          <w:rFonts w:ascii="Calibri" w:hAnsi="Calibri"/>
          <w:sz w:val="22"/>
          <w:szCs w:val="22"/>
          <w:lang w:val="sk-SK"/>
        </w:rPr>
        <w:t>stanovená periodicita p</w:t>
      </w:r>
      <w:r>
        <w:rPr>
          <w:rFonts w:ascii="Calibri" w:hAnsi="Calibri"/>
          <w:sz w:val="22"/>
          <w:szCs w:val="22"/>
          <w:lang w:val="sk-SK"/>
        </w:rPr>
        <w:t>r</w:t>
      </w:r>
      <w:r w:rsidRPr="009B3CBC">
        <w:rPr>
          <w:rFonts w:ascii="Calibri" w:hAnsi="Calibri"/>
          <w:sz w:val="22"/>
          <w:szCs w:val="22"/>
          <w:lang w:val="sk-SK"/>
        </w:rPr>
        <w:t>p.)</w:t>
      </w:r>
    </w:p>
    <w:p w:rsidR="00C06C20" w:rsidRPr="009B3CBC" w:rsidRDefault="00C06C20" w:rsidP="00C06C20">
      <w:pPr>
        <w:contextualSpacing/>
        <w:rPr>
          <w:rFonts w:ascii="Calibri" w:hAnsi="Calibri"/>
          <w:sz w:val="22"/>
          <w:szCs w:val="22"/>
          <w:lang w:val="sk-SK"/>
        </w:rPr>
      </w:pPr>
    </w:p>
    <w:p w:rsidR="00C06C20" w:rsidRPr="009B3CBC" w:rsidRDefault="00C06C20" w:rsidP="00C06C20">
      <w:pPr>
        <w:contextualSpacing/>
        <w:rPr>
          <w:rFonts w:ascii="Calibri" w:hAnsi="Calibri"/>
          <w:b/>
          <w:sz w:val="22"/>
          <w:szCs w:val="22"/>
          <w:lang w:val="sk-SK"/>
        </w:rPr>
      </w:pPr>
      <w:r w:rsidRPr="009B3CBC">
        <w:rPr>
          <w:rFonts w:ascii="Calibri" w:hAnsi="Calibri"/>
          <w:sz w:val="22"/>
          <w:szCs w:val="22"/>
          <w:lang w:val="sk-SK"/>
        </w:rPr>
        <w:t xml:space="preserve">Za optimálny výsledok na hodnotenej ambulancii sa považuje taký počet vykonaných preventívnych prehliadok, ktorý zodpovedá </w:t>
      </w:r>
      <w:r w:rsidRPr="009B3CBC">
        <w:rPr>
          <w:rFonts w:ascii="Calibri" w:hAnsi="Calibri"/>
          <w:b/>
          <w:sz w:val="22"/>
          <w:szCs w:val="22"/>
          <w:lang w:val="sk-SK"/>
        </w:rPr>
        <w:t>prepočítan</w:t>
      </w:r>
      <w:r>
        <w:rPr>
          <w:rFonts w:ascii="Calibri" w:hAnsi="Calibri"/>
          <w:b/>
          <w:sz w:val="22"/>
          <w:szCs w:val="22"/>
          <w:lang w:val="sk-SK"/>
        </w:rPr>
        <w:t>ej</w:t>
      </w:r>
      <w:r w:rsidRPr="009B3CBC">
        <w:rPr>
          <w:rFonts w:ascii="Calibri" w:hAnsi="Calibri"/>
          <w:b/>
          <w:sz w:val="22"/>
          <w:szCs w:val="22"/>
          <w:lang w:val="sk-SK"/>
        </w:rPr>
        <w:t xml:space="preserve"> optimálne</w:t>
      </w:r>
      <w:r>
        <w:rPr>
          <w:rFonts w:ascii="Calibri" w:hAnsi="Calibri"/>
          <w:b/>
          <w:sz w:val="22"/>
          <w:szCs w:val="22"/>
          <w:lang w:val="sk-SK"/>
        </w:rPr>
        <w:t>j preventívnej</w:t>
      </w:r>
      <w:r w:rsidRPr="009B3CBC">
        <w:rPr>
          <w:rFonts w:ascii="Calibri" w:hAnsi="Calibri"/>
          <w:b/>
          <w:sz w:val="22"/>
          <w:szCs w:val="22"/>
          <w:lang w:val="sk-SK"/>
        </w:rPr>
        <w:t xml:space="preserve"> výkon</w:t>
      </w:r>
      <w:r>
        <w:rPr>
          <w:rFonts w:ascii="Calibri" w:hAnsi="Calibri"/>
          <w:b/>
          <w:sz w:val="22"/>
          <w:szCs w:val="22"/>
          <w:lang w:val="sk-SK"/>
        </w:rPr>
        <w:t xml:space="preserve">nosti, </w:t>
      </w:r>
      <w:r w:rsidRPr="002E3F14">
        <w:rPr>
          <w:rFonts w:ascii="Calibri" w:hAnsi="Calibri"/>
          <w:sz w:val="22"/>
          <w:szCs w:val="22"/>
          <w:lang w:val="sk-SK"/>
        </w:rPr>
        <w:t>ktorá je určená</w:t>
      </w:r>
      <w:r>
        <w:rPr>
          <w:rFonts w:ascii="Calibri" w:hAnsi="Calibri"/>
          <w:b/>
          <w:sz w:val="22"/>
          <w:szCs w:val="22"/>
          <w:lang w:val="sk-SK"/>
        </w:rPr>
        <w:t xml:space="preserve"> </w:t>
      </w:r>
      <w:r w:rsidRPr="009B3CBC">
        <w:rPr>
          <w:rFonts w:ascii="Calibri" w:hAnsi="Calibri"/>
          <w:sz w:val="22"/>
          <w:szCs w:val="22"/>
          <w:lang w:val="sk-SK"/>
        </w:rPr>
        <w:t xml:space="preserve">ako </w:t>
      </w:r>
      <w:r w:rsidRPr="002E3F14">
        <w:rPr>
          <w:rFonts w:ascii="Calibri" w:hAnsi="Calibri"/>
          <w:sz w:val="22"/>
          <w:szCs w:val="22"/>
          <w:lang w:val="sk-SK"/>
        </w:rPr>
        <w:t>pomer optimálnej preventívnej výkonnosti (50prp./mesiac) a reálneho priemerného</w:t>
      </w:r>
      <w:r w:rsidRPr="009B3CBC">
        <w:rPr>
          <w:rFonts w:ascii="Calibri" w:hAnsi="Calibri"/>
          <w:b/>
          <w:sz w:val="22"/>
          <w:szCs w:val="22"/>
          <w:lang w:val="sk-SK"/>
        </w:rPr>
        <w:t xml:space="preserve"> </w:t>
      </w:r>
      <w:r w:rsidRPr="009B3CBC">
        <w:rPr>
          <w:rFonts w:ascii="Calibri" w:hAnsi="Calibri"/>
          <w:sz w:val="22"/>
          <w:szCs w:val="22"/>
          <w:lang w:val="sk-SK"/>
        </w:rPr>
        <w:t xml:space="preserve">počtu kapitovaných pacientov na 1 </w:t>
      </w:r>
      <w:r>
        <w:rPr>
          <w:rFonts w:ascii="Calibri" w:hAnsi="Calibri"/>
          <w:sz w:val="22"/>
          <w:szCs w:val="22"/>
          <w:lang w:val="sk-SK"/>
        </w:rPr>
        <w:t xml:space="preserve">lekárske miesto </w:t>
      </w:r>
      <w:r w:rsidRPr="009B3CBC">
        <w:rPr>
          <w:rFonts w:ascii="Calibri" w:hAnsi="Calibri"/>
          <w:sz w:val="22"/>
          <w:szCs w:val="22"/>
          <w:lang w:val="sk-SK"/>
        </w:rPr>
        <w:t>VLD v danom kalendárnom roku v SR.</w:t>
      </w:r>
      <w:r w:rsidRPr="009B3CBC">
        <w:rPr>
          <w:rFonts w:ascii="Calibri" w:hAnsi="Calibri"/>
          <w:b/>
          <w:sz w:val="22"/>
          <w:szCs w:val="22"/>
          <w:lang w:val="sk-SK"/>
        </w:rPr>
        <w:t> </w:t>
      </w:r>
    </w:p>
    <w:p w:rsidR="00C06C20" w:rsidRDefault="00C06C20" w:rsidP="00C06C20">
      <w:pPr>
        <w:ind w:right="-6"/>
        <w:contextualSpacing/>
        <w:rPr>
          <w:rFonts w:ascii="Calibri" w:hAnsi="Calibri"/>
          <w:sz w:val="22"/>
          <w:szCs w:val="22"/>
          <w:u w:val="single"/>
          <w:lang w:val="sk-SK"/>
        </w:rPr>
      </w:pPr>
    </w:p>
    <w:p w:rsidR="00C06C20" w:rsidRDefault="00C06C20" w:rsidP="00C06C20">
      <w:pPr>
        <w:ind w:right="-6"/>
        <w:contextualSpacing/>
        <w:rPr>
          <w:rFonts w:ascii="Calibri" w:hAnsi="Calibri"/>
          <w:b/>
          <w:sz w:val="22"/>
          <w:szCs w:val="22"/>
          <w:lang w:val="sk-SK"/>
        </w:rPr>
      </w:pPr>
      <w:r w:rsidRPr="002E1CCB">
        <w:rPr>
          <w:rFonts w:ascii="Calibri" w:hAnsi="Calibri"/>
          <w:b/>
          <w:sz w:val="22"/>
          <w:szCs w:val="22"/>
          <w:lang w:val="sk-SK"/>
        </w:rPr>
        <w:t>7.1.2.</w:t>
      </w:r>
      <w:r>
        <w:rPr>
          <w:rFonts w:ascii="Calibri" w:hAnsi="Calibri"/>
          <w:sz w:val="22"/>
          <w:szCs w:val="22"/>
          <w:lang w:val="sk-SK"/>
        </w:rPr>
        <w:t xml:space="preserve"> </w:t>
      </w:r>
      <w:r w:rsidRPr="002E3F14">
        <w:rPr>
          <w:rFonts w:ascii="Calibri" w:hAnsi="Calibri"/>
          <w:sz w:val="22"/>
          <w:szCs w:val="22"/>
          <w:lang w:val="sk-SK"/>
        </w:rPr>
        <w:t xml:space="preserve">Výpočet </w:t>
      </w:r>
      <w:r w:rsidRPr="009B3CBC">
        <w:rPr>
          <w:rFonts w:ascii="Calibri" w:hAnsi="Calibri"/>
          <w:b/>
          <w:sz w:val="22"/>
          <w:szCs w:val="22"/>
          <w:lang w:val="sk-SK"/>
        </w:rPr>
        <w:t>prepočítan</w:t>
      </w:r>
      <w:r>
        <w:rPr>
          <w:rFonts w:ascii="Calibri" w:hAnsi="Calibri"/>
          <w:b/>
          <w:sz w:val="22"/>
          <w:szCs w:val="22"/>
          <w:lang w:val="sk-SK"/>
        </w:rPr>
        <w:t>ej</w:t>
      </w:r>
      <w:r w:rsidRPr="009B3CBC">
        <w:rPr>
          <w:rFonts w:ascii="Calibri" w:hAnsi="Calibri"/>
          <w:b/>
          <w:sz w:val="22"/>
          <w:szCs w:val="22"/>
          <w:lang w:val="sk-SK"/>
        </w:rPr>
        <w:t xml:space="preserve"> optimálne</w:t>
      </w:r>
      <w:r>
        <w:rPr>
          <w:rFonts w:ascii="Calibri" w:hAnsi="Calibri"/>
          <w:b/>
          <w:sz w:val="22"/>
          <w:szCs w:val="22"/>
          <w:lang w:val="sk-SK"/>
        </w:rPr>
        <w:t>j preventívnej</w:t>
      </w:r>
      <w:r w:rsidRPr="009B3CBC">
        <w:rPr>
          <w:rFonts w:ascii="Calibri" w:hAnsi="Calibri"/>
          <w:b/>
          <w:sz w:val="22"/>
          <w:szCs w:val="22"/>
          <w:lang w:val="sk-SK"/>
        </w:rPr>
        <w:t xml:space="preserve"> výkon</w:t>
      </w:r>
      <w:r>
        <w:rPr>
          <w:rFonts w:ascii="Calibri" w:hAnsi="Calibri"/>
          <w:b/>
          <w:sz w:val="22"/>
          <w:szCs w:val="22"/>
          <w:lang w:val="sk-SK"/>
        </w:rPr>
        <w:t>nosti:</w:t>
      </w:r>
    </w:p>
    <w:p w:rsidR="00C06C20" w:rsidRDefault="00C06C20" w:rsidP="00C06C20">
      <w:pPr>
        <w:ind w:right="-6"/>
        <w:contextualSpacing/>
        <w:rPr>
          <w:rFonts w:ascii="Calibri" w:hAnsi="Calibri"/>
          <w:sz w:val="22"/>
          <w:szCs w:val="22"/>
          <w:lang w:val="sk-SK"/>
        </w:rPr>
      </w:pPr>
      <w:r w:rsidRPr="009B3CBC">
        <w:rPr>
          <w:rFonts w:ascii="Calibri" w:hAnsi="Calibri"/>
          <w:sz w:val="22"/>
          <w:szCs w:val="22"/>
          <w:lang w:val="sk-SK"/>
        </w:rPr>
        <w:t xml:space="preserve">príklad: </w:t>
      </w:r>
      <w:r>
        <w:rPr>
          <w:rFonts w:ascii="Calibri" w:hAnsi="Calibri"/>
          <w:sz w:val="22"/>
          <w:szCs w:val="22"/>
          <w:lang w:val="sk-SK"/>
        </w:rPr>
        <w:t xml:space="preserve">ak je </w:t>
      </w:r>
      <w:r w:rsidRPr="009B3CBC">
        <w:rPr>
          <w:rFonts w:ascii="Calibri" w:hAnsi="Calibri"/>
          <w:sz w:val="22"/>
          <w:szCs w:val="22"/>
          <w:lang w:val="sk-SK"/>
        </w:rPr>
        <w:t>r</w:t>
      </w:r>
      <w:r>
        <w:rPr>
          <w:rFonts w:ascii="Calibri" w:hAnsi="Calibri"/>
          <w:sz w:val="22"/>
          <w:szCs w:val="22"/>
          <w:lang w:val="sk-SK"/>
        </w:rPr>
        <w:t xml:space="preserve">eálny priemer pac./1LM VLD v sledovanom období je 1900, potom: </w:t>
      </w:r>
    </w:p>
    <w:p w:rsidR="00C06C20" w:rsidRPr="009B3CBC" w:rsidRDefault="00C06C20" w:rsidP="00C06C20">
      <w:pPr>
        <w:ind w:right="-6"/>
        <w:contextualSpacing/>
        <w:rPr>
          <w:rFonts w:ascii="Calibri" w:hAnsi="Calibri"/>
          <w:sz w:val="22"/>
          <w:szCs w:val="22"/>
          <w:lang w:val="sk-SK"/>
        </w:rPr>
      </w:pPr>
      <w:r w:rsidRPr="009B3CBC">
        <w:rPr>
          <w:rFonts w:ascii="Calibri" w:hAnsi="Calibri"/>
          <w:sz w:val="22"/>
          <w:szCs w:val="22"/>
          <w:lang w:val="sk-SK"/>
        </w:rPr>
        <w:t xml:space="preserve">(50pp x 12 mes.) / (1900pac./2 roky) = </w:t>
      </w:r>
      <w:r w:rsidRPr="002E3F14">
        <w:rPr>
          <w:rFonts w:ascii="Calibri" w:hAnsi="Calibri"/>
          <w:b/>
          <w:sz w:val="22"/>
          <w:szCs w:val="22"/>
          <w:lang w:val="sk-SK"/>
        </w:rPr>
        <w:t>0,63</w:t>
      </w:r>
      <w:r w:rsidRPr="009B3CBC">
        <w:rPr>
          <w:rFonts w:ascii="Calibri" w:hAnsi="Calibri"/>
          <w:sz w:val="22"/>
          <w:szCs w:val="22"/>
          <w:lang w:val="sk-SK"/>
        </w:rPr>
        <w:t xml:space="preserve"> </w:t>
      </w:r>
      <w:r>
        <w:rPr>
          <w:rFonts w:ascii="Calibri" w:hAnsi="Calibri"/>
          <w:sz w:val="22"/>
          <w:szCs w:val="22"/>
          <w:lang w:val="sk-SK"/>
        </w:rPr>
        <w:t xml:space="preserve">= </w:t>
      </w:r>
      <w:r w:rsidRPr="009B3CBC">
        <w:rPr>
          <w:rFonts w:ascii="Calibri" w:hAnsi="Calibri"/>
          <w:b/>
          <w:sz w:val="22"/>
          <w:szCs w:val="22"/>
          <w:lang w:val="sk-SK"/>
        </w:rPr>
        <w:t>prepočítan</w:t>
      </w:r>
      <w:r>
        <w:rPr>
          <w:rFonts w:ascii="Calibri" w:hAnsi="Calibri"/>
          <w:b/>
          <w:sz w:val="22"/>
          <w:szCs w:val="22"/>
          <w:lang w:val="sk-SK"/>
        </w:rPr>
        <w:t>á optimálna preventívna</w:t>
      </w:r>
      <w:r w:rsidRPr="009B3CBC">
        <w:rPr>
          <w:rFonts w:ascii="Calibri" w:hAnsi="Calibri"/>
          <w:b/>
          <w:sz w:val="22"/>
          <w:szCs w:val="22"/>
          <w:lang w:val="sk-SK"/>
        </w:rPr>
        <w:t xml:space="preserve"> výkon</w:t>
      </w:r>
      <w:r>
        <w:rPr>
          <w:rFonts w:ascii="Calibri" w:hAnsi="Calibri"/>
          <w:b/>
          <w:sz w:val="22"/>
          <w:szCs w:val="22"/>
          <w:lang w:val="sk-SK"/>
        </w:rPr>
        <w:t>nosť</w:t>
      </w:r>
      <w:r w:rsidRPr="009B3CBC">
        <w:rPr>
          <w:rFonts w:ascii="Calibri" w:hAnsi="Calibri"/>
          <w:sz w:val="22"/>
          <w:szCs w:val="22"/>
          <w:lang w:val="sk-SK"/>
        </w:rPr>
        <w:t xml:space="preserve">     </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sidRPr="009B3CBC">
        <w:rPr>
          <w:rFonts w:ascii="Calibri" w:hAnsi="Calibri"/>
          <w:sz w:val="22"/>
          <w:szCs w:val="22"/>
          <w:lang w:val="sk-SK"/>
        </w:rPr>
        <w:t>Uvedený spôsob určenia výkonnosti v prevencii zohľadňuje</w:t>
      </w:r>
      <w:r>
        <w:rPr>
          <w:rFonts w:ascii="Calibri" w:hAnsi="Calibri"/>
          <w:sz w:val="22"/>
          <w:szCs w:val="22"/>
          <w:lang w:val="sk-SK"/>
        </w:rPr>
        <w:t xml:space="preserve"> nie len</w:t>
      </w:r>
      <w:r w:rsidRPr="009B3CBC">
        <w:rPr>
          <w:rFonts w:ascii="Calibri" w:hAnsi="Calibri"/>
          <w:sz w:val="22"/>
          <w:szCs w:val="22"/>
          <w:lang w:val="sk-SK"/>
        </w:rPr>
        <w:t xml:space="preserve"> verejný záujem o konkrétny a čo najvyšší objem preventívnych výkonov pri známom počte čakateľov na preventívnu prehliadku (celkový počet dospelých </w:t>
      </w:r>
      <w:r>
        <w:rPr>
          <w:rFonts w:ascii="Calibri" w:hAnsi="Calibri"/>
          <w:sz w:val="22"/>
          <w:szCs w:val="22"/>
          <w:lang w:val="sk-SK"/>
        </w:rPr>
        <w:t>pacientov), ale zohľadňuje aj nad</w:t>
      </w:r>
      <w:r w:rsidRPr="009B3CBC">
        <w:rPr>
          <w:rFonts w:ascii="Calibri" w:hAnsi="Calibri"/>
          <w:sz w:val="22"/>
          <w:szCs w:val="22"/>
          <w:lang w:val="sk-SK"/>
        </w:rPr>
        <w:t>pri</w:t>
      </w:r>
      <w:r>
        <w:rPr>
          <w:rFonts w:ascii="Calibri" w:hAnsi="Calibri"/>
          <w:sz w:val="22"/>
          <w:szCs w:val="22"/>
          <w:lang w:val="sk-SK"/>
        </w:rPr>
        <w:t>e</w:t>
      </w:r>
      <w:r w:rsidRPr="009B3CBC">
        <w:rPr>
          <w:rFonts w:ascii="Calibri" w:hAnsi="Calibri"/>
          <w:sz w:val="22"/>
          <w:szCs w:val="22"/>
          <w:lang w:val="sk-SK"/>
        </w:rPr>
        <w:t>merný tlak na dostupnosť p</w:t>
      </w:r>
      <w:r>
        <w:rPr>
          <w:rFonts w:ascii="Calibri" w:hAnsi="Calibri"/>
          <w:sz w:val="22"/>
          <w:szCs w:val="22"/>
          <w:lang w:val="sk-SK"/>
        </w:rPr>
        <w:t>r</w:t>
      </w:r>
      <w:r w:rsidRPr="009B3CBC">
        <w:rPr>
          <w:rFonts w:ascii="Calibri" w:hAnsi="Calibri"/>
          <w:sz w:val="22"/>
          <w:szCs w:val="22"/>
          <w:lang w:val="sk-SK"/>
        </w:rPr>
        <w:t>p.</w:t>
      </w:r>
      <w:r>
        <w:rPr>
          <w:rFonts w:ascii="Calibri" w:hAnsi="Calibri"/>
          <w:sz w:val="22"/>
          <w:szCs w:val="22"/>
          <w:lang w:val="sk-SK"/>
        </w:rPr>
        <w:t xml:space="preserve"> </w:t>
      </w:r>
      <w:r w:rsidRPr="009B3CBC">
        <w:rPr>
          <w:rFonts w:ascii="Calibri" w:hAnsi="Calibri"/>
          <w:sz w:val="22"/>
          <w:szCs w:val="22"/>
          <w:lang w:val="sk-SK"/>
        </w:rPr>
        <w:t>v</w:t>
      </w:r>
      <w:r>
        <w:rPr>
          <w:rFonts w:ascii="Calibri" w:hAnsi="Calibri"/>
          <w:sz w:val="22"/>
          <w:szCs w:val="22"/>
          <w:lang w:val="sk-SK"/>
        </w:rPr>
        <w:t> súvislosti s počtom lekárov – aktívne pracujúcich VLD v SR.</w:t>
      </w:r>
    </w:p>
    <w:p w:rsidR="00C06C20" w:rsidRDefault="00213568" w:rsidP="00C06C20">
      <w:pPr>
        <w:contextualSpacing/>
        <w:rPr>
          <w:rFonts w:ascii="Calibri" w:hAnsi="Calibri"/>
          <w:sz w:val="22"/>
          <w:szCs w:val="22"/>
          <w:lang w:val="sk-SK"/>
        </w:rPr>
      </w:pPr>
      <w:r>
        <w:rPr>
          <w:rFonts w:ascii="Calibri" w:hAnsi="Calibri"/>
          <w:noProof/>
          <w:sz w:val="22"/>
          <w:szCs w:val="22"/>
          <w:lang w:val="sk-SK" w:eastAsia="sk-SK"/>
        </w:rPr>
        <w:pict>
          <v:rect id="_x0000_s2072" style="position:absolute;margin-left:-16.5pt;margin-top:12.25pt;width:493.1pt;height:84.25pt;z-index:-251656192" fillcolor="#f2f2f2 [3052]"/>
        </w:pict>
      </w:r>
    </w:p>
    <w:p w:rsidR="00C06C20" w:rsidRPr="0057260B" w:rsidRDefault="00C06C20" w:rsidP="00C06C20">
      <w:pPr>
        <w:contextualSpacing/>
        <w:rPr>
          <w:rFonts w:ascii="Calibri" w:hAnsi="Calibri"/>
          <w:b/>
          <w:color w:val="FF0000"/>
          <w:sz w:val="22"/>
          <w:szCs w:val="22"/>
          <w:lang w:val="sk-SK"/>
        </w:rPr>
      </w:pPr>
      <w:r w:rsidRPr="0057260B">
        <w:rPr>
          <w:rFonts w:ascii="Calibri" w:hAnsi="Calibri"/>
          <w:b/>
          <w:color w:val="FF0000"/>
          <w:sz w:val="22"/>
          <w:szCs w:val="22"/>
          <w:lang w:val="sk-SK"/>
        </w:rPr>
        <w:t>7.1.3. Prepočítaná optimálna preventívna výkonnosť /mesiac:</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sidRPr="00DE5236">
        <w:rPr>
          <w:rFonts w:ascii="Calibri" w:hAnsi="Calibri"/>
          <w:sz w:val="22"/>
          <w:szCs w:val="22"/>
          <w:lang w:val="sk-SK"/>
        </w:rPr>
        <w:t>Pre aplikačnú prax</w:t>
      </w:r>
      <w:r>
        <w:rPr>
          <w:rFonts w:ascii="Calibri" w:hAnsi="Calibri"/>
          <w:sz w:val="22"/>
          <w:szCs w:val="22"/>
          <w:lang w:val="sk-SK"/>
        </w:rPr>
        <w:t xml:space="preserve"> sa </w:t>
      </w:r>
      <w:r w:rsidRPr="00802B08">
        <w:rPr>
          <w:rFonts w:ascii="Calibri" w:hAnsi="Calibri"/>
          <w:sz w:val="22"/>
          <w:szCs w:val="22"/>
          <w:lang w:val="sk-SK"/>
        </w:rPr>
        <w:t>prepočítaná optimálna preventívna výkonnosť určuje vo vzťahu k zúčtovaciemu obdobiu jedného kalendárneho mesiaca</w:t>
      </w:r>
      <w:r>
        <w:rPr>
          <w:rFonts w:ascii="Calibri" w:hAnsi="Calibri"/>
          <w:sz w:val="22"/>
          <w:szCs w:val="22"/>
          <w:lang w:val="sk-SK"/>
        </w:rPr>
        <w:t xml:space="preserve"> a keďže zákonom stanovená periodicita prp. je 2 roky (teda 24 mesiacov), tak </w:t>
      </w:r>
      <w:r w:rsidRPr="0057260B">
        <w:rPr>
          <w:rFonts w:ascii="Calibri" w:hAnsi="Calibri"/>
          <w:b/>
          <w:sz w:val="22"/>
          <w:szCs w:val="22"/>
          <w:lang w:val="sk-SK"/>
        </w:rPr>
        <w:t>na jeden kalendárny mesiac sa vzťahuje podiel hodnoty vypočítanej podľa bodu 7.1.2 a čísla 24</w:t>
      </w:r>
      <w:r>
        <w:rPr>
          <w:rFonts w:ascii="Calibri" w:hAnsi="Calibri"/>
          <w:sz w:val="22"/>
          <w:szCs w:val="22"/>
          <w:lang w:val="sk-SK"/>
        </w:rPr>
        <w:t xml:space="preserve"> – v uvedenom príklade 0,63/24 = 0,02625 = </w:t>
      </w:r>
      <w:r w:rsidRPr="000C24CF">
        <w:rPr>
          <w:rFonts w:ascii="Calibri" w:hAnsi="Calibri"/>
          <w:b/>
          <w:sz w:val="22"/>
          <w:szCs w:val="22"/>
          <w:lang w:val="sk-SK"/>
        </w:rPr>
        <w:t>2,625%.</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Pr>
          <w:rFonts w:ascii="Calibri" w:hAnsi="Calibri"/>
          <w:sz w:val="22"/>
          <w:szCs w:val="22"/>
          <w:lang w:val="sk-SK"/>
        </w:rPr>
        <w:t xml:space="preserve">To znamená, že na každej konkrétnej ambulancii v uvedenom príklade je v SR v sledovanom období (zákon určí kalendárny rok) </w:t>
      </w:r>
      <w:r w:rsidRPr="009B3CBC">
        <w:rPr>
          <w:rFonts w:ascii="Calibri" w:hAnsi="Calibri"/>
          <w:b/>
          <w:sz w:val="22"/>
          <w:szCs w:val="22"/>
          <w:lang w:val="sk-SK"/>
        </w:rPr>
        <w:t>prepočítan</w:t>
      </w:r>
      <w:r>
        <w:rPr>
          <w:rFonts w:ascii="Calibri" w:hAnsi="Calibri"/>
          <w:b/>
          <w:sz w:val="22"/>
          <w:szCs w:val="22"/>
          <w:lang w:val="sk-SK"/>
        </w:rPr>
        <w:t>á optimálna preventívna</w:t>
      </w:r>
      <w:r w:rsidRPr="009B3CBC">
        <w:rPr>
          <w:rFonts w:ascii="Calibri" w:hAnsi="Calibri"/>
          <w:b/>
          <w:sz w:val="22"/>
          <w:szCs w:val="22"/>
          <w:lang w:val="sk-SK"/>
        </w:rPr>
        <w:t xml:space="preserve"> </w:t>
      </w:r>
      <w:r w:rsidRPr="00A44EC3">
        <w:rPr>
          <w:rFonts w:ascii="Calibri" w:hAnsi="Calibri"/>
          <w:b/>
          <w:sz w:val="22"/>
          <w:szCs w:val="22"/>
          <w:lang w:val="sk-SK"/>
        </w:rPr>
        <w:t>výkonnosť /mes</w:t>
      </w:r>
      <w:r>
        <w:rPr>
          <w:rFonts w:ascii="Calibri" w:hAnsi="Calibri"/>
          <w:b/>
          <w:sz w:val="22"/>
          <w:szCs w:val="22"/>
          <w:lang w:val="sk-SK"/>
        </w:rPr>
        <w:t xml:space="preserve">iac (POPVM) </w:t>
      </w:r>
      <w:r>
        <w:rPr>
          <w:rFonts w:ascii="Calibri" w:hAnsi="Calibri"/>
          <w:sz w:val="22"/>
          <w:szCs w:val="22"/>
          <w:lang w:val="sk-SK"/>
        </w:rPr>
        <w:t>= 2,625% z celkového počtu kapitovaných pacientov.</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Pr>
          <w:rFonts w:ascii="Calibri" w:hAnsi="Calibri"/>
          <w:sz w:val="22"/>
          <w:szCs w:val="22"/>
          <w:lang w:val="sk-SK"/>
        </w:rPr>
        <w:t xml:space="preserve">Vzorec pre výpočet vyplývajúci z bodov 7.1.1. a 7.1.2 je nasledovný: </w:t>
      </w:r>
    </w:p>
    <w:p w:rsidR="00C06C20" w:rsidRDefault="00C06C20" w:rsidP="00C06C20">
      <w:pPr>
        <w:contextualSpacing/>
        <w:rPr>
          <w:rFonts w:ascii="Calibri" w:hAnsi="Calibri"/>
          <w:sz w:val="22"/>
          <w:szCs w:val="22"/>
          <w:lang w:val="sk-SK"/>
        </w:rPr>
      </w:pPr>
    </w:p>
    <w:p w:rsidR="00C06C20" w:rsidRPr="002221AA" w:rsidRDefault="00C06C20" w:rsidP="00C06C20">
      <w:pPr>
        <w:contextualSpacing/>
        <w:rPr>
          <w:rFonts w:ascii="Calibri" w:hAnsi="Calibri"/>
          <w:b/>
          <w:color w:val="FF0000"/>
          <w:sz w:val="22"/>
          <w:szCs w:val="22"/>
          <w:lang w:val="sk-SK"/>
        </w:rPr>
      </w:pPr>
      <w:r w:rsidRPr="002221AA">
        <w:rPr>
          <w:rFonts w:ascii="Calibri" w:hAnsi="Calibri"/>
          <w:b/>
          <w:color w:val="FF0000"/>
          <w:sz w:val="22"/>
          <w:szCs w:val="22"/>
          <w:lang w:val="sk-SK"/>
        </w:rPr>
        <w:t>POPVM = (OPV x 12) / (RPLM / 2) / 24</w:t>
      </w:r>
    </w:p>
    <w:p w:rsidR="00C06C20" w:rsidRDefault="00C06C20" w:rsidP="00C06C20">
      <w:pPr>
        <w:contextualSpacing/>
        <w:rPr>
          <w:rFonts w:ascii="Calibri" w:hAnsi="Calibri"/>
          <w:sz w:val="22"/>
          <w:szCs w:val="22"/>
          <w:lang w:val="sk-SK"/>
        </w:rPr>
      </w:pPr>
    </w:p>
    <w:p w:rsidR="00C06C20" w:rsidRDefault="00C06C20" w:rsidP="00C06C20">
      <w:pPr>
        <w:pStyle w:val="Odsekzoznamu"/>
        <w:numPr>
          <w:ilvl w:val="0"/>
          <w:numId w:val="26"/>
        </w:numPr>
      </w:pPr>
      <w:r>
        <w:t>OPV = optimálna preventívna výkonnosť</w:t>
      </w:r>
    </w:p>
    <w:p w:rsidR="00C06C20" w:rsidRDefault="00C06C20" w:rsidP="00C06C20">
      <w:pPr>
        <w:pStyle w:val="Odsekzoznamu"/>
        <w:numPr>
          <w:ilvl w:val="0"/>
          <w:numId w:val="26"/>
        </w:numPr>
      </w:pPr>
      <w:r>
        <w:t>RPLM = reálny priemer pacientov na 1 LM v rozhodujúcom (sledovanom) období</w:t>
      </w:r>
    </w:p>
    <w:p w:rsidR="00C06C20" w:rsidRDefault="00C06C20" w:rsidP="00C06C20">
      <w:pPr>
        <w:pStyle w:val="Odsekzoznamu"/>
        <w:numPr>
          <w:ilvl w:val="0"/>
          <w:numId w:val="26"/>
        </w:numPr>
      </w:pPr>
      <w:r>
        <w:t>konštatnta „12“ je 12 mesiacov roka</w:t>
      </w:r>
    </w:p>
    <w:p w:rsidR="00C06C20" w:rsidRDefault="00C06C20" w:rsidP="00C06C20">
      <w:pPr>
        <w:pStyle w:val="Odsekzoznamu"/>
        <w:numPr>
          <w:ilvl w:val="0"/>
          <w:numId w:val="26"/>
        </w:numPr>
      </w:pPr>
      <w:r>
        <w:t>konštanta „2“ sú 2 roky periodicity prp. podľa zákona</w:t>
      </w:r>
    </w:p>
    <w:p w:rsidR="00C06C20" w:rsidRDefault="00C06C20" w:rsidP="00C06C20">
      <w:pPr>
        <w:pStyle w:val="Odsekzoznamu"/>
        <w:numPr>
          <w:ilvl w:val="0"/>
          <w:numId w:val="26"/>
        </w:numPr>
      </w:pPr>
      <w:r>
        <w:t>konštanta „24“ je 24 mesiacov periodicity prp. podľa zákona</w:t>
      </w:r>
    </w:p>
    <w:p w:rsidR="00C06C20" w:rsidRPr="0044649A" w:rsidRDefault="00C06C20" w:rsidP="00C06C20">
      <w:pPr>
        <w:pStyle w:val="Odsekzoznamu"/>
        <w:numPr>
          <w:ilvl w:val="0"/>
          <w:numId w:val="26"/>
        </w:numPr>
      </w:pPr>
      <w:r>
        <w:t xml:space="preserve">POPVM = </w:t>
      </w:r>
      <w:r w:rsidRPr="0044649A">
        <w:t xml:space="preserve">prepočítaná </w:t>
      </w:r>
      <w:r>
        <w:t>optimálna preventívna výkonnosť</w:t>
      </w:r>
      <w:r w:rsidRPr="0044649A">
        <w:t>/mesiac</w:t>
      </w:r>
    </w:p>
    <w:p w:rsidR="00C06C20" w:rsidRPr="00802B08" w:rsidRDefault="00C06C20" w:rsidP="00C06C20">
      <w:pPr>
        <w:contextualSpacing/>
        <w:rPr>
          <w:rFonts w:ascii="Calibri" w:hAnsi="Calibri"/>
          <w:sz w:val="22"/>
          <w:szCs w:val="22"/>
          <w:lang w:val="sk-SK"/>
        </w:rPr>
      </w:pPr>
      <w:r w:rsidRPr="0057260B">
        <w:rPr>
          <w:rFonts w:ascii="Calibri" w:hAnsi="Calibri"/>
          <w:b/>
          <w:sz w:val="22"/>
          <w:szCs w:val="22"/>
          <w:lang w:val="sk-SK"/>
        </w:rPr>
        <w:t>Zákon určí metodické vyhodnocovanie a určovanie</w:t>
      </w:r>
      <w:r>
        <w:rPr>
          <w:rFonts w:ascii="Calibri" w:hAnsi="Calibri"/>
          <w:sz w:val="22"/>
          <w:szCs w:val="22"/>
          <w:lang w:val="sk-SK"/>
        </w:rPr>
        <w:t xml:space="preserve"> </w:t>
      </w:r>
      <w:r w:rsidRPr="0057260B">
        <w:rPr>
          <w:rFonts w:ascii="Calibri" w:hAnsi="Calibri"/>
          <w:b/>
          <w:sz w:val="22"/>
          <w:szCs w:val="22"/>
          <w:lang w:val="sk-SK"/>
        </w:rPr>
        <w:t>POPVM</w:t>
      </w:r>
      <w:r>
        <w:rPr>
          <w:rFonts w:ascii="Calibri" w:hAnsi="Calibri"/>
          <w:sz w:val="22"/>
          <w:szCs w:val="22"/>
          <w:lang w:val="sk-SK"/>
        </w:rPr>
        <w:t xml:space="preserve"> </w:t>
      </w:r>
      <w:r w:rsidRPr="0057260B">
        <w:rPr>
          <w:rFonts w:ascii="Calibri" w:hAnsi="Calibri"/>
          <w:b/>
          <w:sz w:val="22"/>
          <w:szCs w:val="22"/>
          <w:lang w:val="sk-SK"/>
        </w:rPr>
        <w:t>podzákonnou normou</w:t>
      </w:r>
      <w:r>
        <w:rPr>
          <w:rFonts w:ascii="Calibri" w:hAnsi="Calibri"/>
          <w:sz w:val="22"/>
          <w:szCs w:val="22"/>
          <w:lang w:val="sk-SK"/>
        </w:rPr>
        <w:t xml:space="preserve"> (cenové opatrenie MZSR) v pravidelných zákonom stanovených intervaloch (1 kalendárny rok)*** </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sidRPr="002E1CCB">
        <w:rPr>
          <w:rFonts w:ascii="Calibri" w:hAnsi="Calibri"/>
          <w:b/>
          <w:sz w:val="22"/>
          <w:szCs w:val="22"/>
          <w:lang w:val="sk-SK"/>
        </w:rPr>
        <w:t>7.1.</w:t>
      </w:r>
      <w:r>
        <w:rPr>
          <w:rFonts w:ascii="Calibri" w:hAnsi="Calibri"/>
          <w:b/>
          <w:sz w:val="22"/>
          <w:szCs w:val="22"/>
          <w:lang w:val="sk-SK"/>
        </w:rPr>
        <w:t>4</w:t>
      </w:r>
      <w:r w:rsidRPr="002E1CCB">
        <w:rPr>
          <w:rFonts w:ascii="Calibri" w:hAnsi="Calibri"/>
          <w:b/>
          <w:sz w:val="22"/>
          <w:szCs w:val="22"/>
          <w:lang w:val="sk-SK"/>
        </w:rPr>
        <w:t>.</w:t>
      </w:r>
      <w:r>
        <w:rPr>
          <w:rFonts w:ascii="Calibri" w:hAnsi="Calibri"/>
          <w:sz w:val="22"/>
          <w:szCs w:val="22"/>
          <w:lang w:val="sk-SK"/>
        </w:rPr>
        <w:t xml:space="preserve"> </w:t>
      </w:r>
      <w:r w:rsidRPr="009B3CBC">
        <w:rPr>
          <w:rFonts w:ascii="Calibri" w:hAnsi="Calibri"/>
          <w:sz w:val="22"/>
          <w:szCs w:val="22"/>
          <w:lang w:val="sk-SK"/>
        </w:rPr>
        <w:t xml:space="preserve">Stanovením </w:t>
      </w:r>
      <w:r w:rsidRPr="002E1CCB">
        <w:rPr>
          <w:rFonts w:ascii="Calibri" w:hAnsi="Calibri"/>
          <w:sz w:val="22"/>
          <w:szCs w:val="22"/>
          <w:lang w:val="sk-SK"/>
        </w:rPr>
        <w:t>prepočítanej optimálnej preventívnej výkonnosti</w:t>
      </w:r>
      <w:r w:rsidRPr="009B3CBC">
        <w:rPr>
          <w:rFonts w:ascii="Calibri" w:hAnsi="Calibri"/>
          <w:sz w:val="22"/>
          <w:szCs w:val="22"/>
          <w:lang w:val="sk-SK"/>
        </w:rPr>
        <w:t xml:space="preserve"> </w:t>
      </w:r>
      <w:r w:rsidRPr="002E1CCB">
        <w:rPr>
          <w:rFonts w:ascii="Calibri" w:hAnsi="Calibri"/>
          <w:b/>
          <w:sz w:val="22"/>
          <w:szCs w:val="22"/>
          <w:lang w:val="sk-SK"/>
        </w:rPr>
        <w:t>sa stanovuje neutrálna výkonnostná hladina pre každú konkrétnu ambulanciu VLD</w:t>
      </w:r>
      <w:r>
        <w:rPr>
          <w:rFonts w:ascii="Calibri" w:hAnsi="Calibri"/>
          <w:sz w:val="22"/>
          <w:szCs w:val="22"/>
          <w:lang w:val="sk-SK"/>
        </w:rPr>
        <w:t xml:space="preserve"> a v</w:t>
      </w:r>
      <w:r w:rsidRPr="009B3CBC">
        <w:rPr>
          <w:rFonts w:ascii="Calibri" w:hAnsi="Calibri"/>
          <w:sz w:val="22"/>
          <w:szCs w:val="22"/>
          <w:lang w:val="sk-SK"/>
        </w:rPr>
        <w:t>ytvára</w:t>
      </w:r>
      <w:r>
        <w:rPr>
          <w:rFonts w:ascii="Calibri" w:hAnsi="Calibri"/>
          <w:sz w:val="22"/>
          <w:szCs w:val="22"/>
          <w:lang w:val="sk-SK"/>
        </w:rPr>
        <w:t xml:space="preserve"> sa </w:t>
      </w:r>
      <w:r w:rsidRPr="009B3CBC">
        <w:rPr>
          <w:rFonts w:ascii="Calibri" w:hAnsi="Calibri"/>
          <w:sz w:val="22"/>
          <w:szCs w:val="22"/>
          <w:lang w:val="sk-SK"/>
        </w:rPr>
        <w:t>priestor na bonifikáciu nadpriemerne výkonných poskytovateľov, ako aj na malifikáciu podpri</w:t>
      </w:r>
      <w:r>
        <w:rPr>
          <w:rFonts w:ascii="Calibri" w:hAnsi="Calibri"/>
          <w:sz w:val="22"/>
          <w:szCs w:val="22"/>
          <w:lang w:val="sk-SK"/>
        </w:rPr>
        <w:t>emerne výkonných poskytovateľov.</w:t>
      </w:r>
      <w:r w:rsidRPr="009B3CBC">
        <w:rPr>
          <w:rFonts w:ascii="Calibri" w:hAnsi="Calibri"/>
          <w:sz w:val="22"/>
          <w:szCs w:val="22"/>
          <w:lang w:val="sk-SK"/>
        </w:rPr>
        <w:t xml:space="preserve"> </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Pr>
          <w:rFonts w:ascii="Calibri" w:hAnsi="Calibri"/>
          <w:sz w:val="22"/>
          <w:szCs w:val="22"/>
          <w:lang w:val="sk-SK"/>
        </w:rPr>
        <w:t>Stanovuje sa 10 nadpriemerných a 10 podpriemerných výkonnostných hladín, pričom k</w:t>
      </w:r>
      <w:r w:rsidRPr="009B3CBC">
        <w:rPr>
          <w:rFonts w:ascii="Calibri" w:hAnsi="Calibri"/>
          <w:sz w:val="22"/>
          <w:szCs w:val="22"/>
          <w:lang w:val="sk-SK"/>
        </w:rPr>
        <w:t xml:space="preserve">aždá z úrovní bonusu, resp. malusu zodpovedá 1% bodu základnej kapitačnej platby (viz. tabuľka </w:t>
      </w:r>
      <w:r>
        <w:rPr>
          <w:rFonts w:ascii="Calibri" w:hAnsi="Calibri"/>
          <w:sz w:val="22"/>
          <w:szCs w:val="22"/>
          <w:lang w:val="sk-SK"/>
        </w:rPr>
        <w:t xml:space="preserve"> – v príklade je uvedená výška základnej kapitácie 3,00 EUR</w:t>
      </w:r>
      <w:r w:rsidRPr="009B3CBC">
        <w:rPr>
          <w:rFonts w:ascii="Calibri" w:hAnsi="Calibri"/>
          <w:sz w:val="22"/>
          <w:szCs w:val="22"/>
          <w:lang w:val="sk-SK"/>
        </w:rPr>
        <w:t xml:space="preserve">). </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b/>
          <w:sz w:val="22"/>
          <w:szCs w:val="22"/>
          <w:lang w:val="sk-SK"/>
        </w:rPr>
      </w:pPr>
      <w:r w:rsidRPr="002D2C33">
        <w:rPr>
          <w:rFonts w:ascii="Calibri" w:hAnsi="Calibri"/>
          <w:b/>
          <w:sz w:val="22"/>
          <w:szCs w:val="22"/>
          <w:lang w:val="sk-SK"/>
        </w:rPr>
        <w:t>Pre jednotlivú výkonnostnú hladinu „h“ platí výpočet:</w:t>
      </w:r>
      <w:r w:rsidRPr="002221AA">
        <w:rPr>
          <w:rFonts w:ascii="Calibri" w:hAnsi="Calibri"/>
          <w:b/>
          <w:color w:val="FF0000"/>
          <w:sz w:val="22"/>
          <w:szCs w:val="22"/>
          <w:lang w:val="sk-SK"/>
        </w:rPr>
        <w:t xml:space="preserve">  h</w:t>
      </w:r>
      <w:r>
        <w:rPr>
          <w:rFonts w:ascii="Calibri" w:hAnsi="Calibri"/>
          <w:b/>
          <w:color w:val="FF0000"/>
          <w:sz w:val="22"/>
          <w:szCs w:val="22"/>
          <w:lang w:val="sk-SK"/>
        </w:rPr>
        <w:t>n</w:t>
      </w:r>
      <w:r w:rsidRPr="002221AA">
        <w:rPr>
          <w:rFonts w:ascii="Calibri" w:hAnsi="Calibri"/>
          <w:b/>
          <w:color w:val="FF0000"/>
          <w:sz w:val="22"/>
          <w:szCs w:val="22"/>
          <w:lang w:val="sk-SK"/>
        </w:rPr>
        <w:t xml:space="preserve"> = POPVM </w:t>
      </w:r>
      <w:r>
        <w:rPr>
          <w:rFonts w:ascii="Calibri" w:hAnsi="Calibri"/>
          <w:b/>
          <w:color w:val="FF0000"/>
          <w:sz w:val="22"/>
          <w:szCs w:val="22"/>
          <w:lang w:val="sk-SK"/>
        </w:rPr>
        <w:t>+ (n</w:t>
      </w:r>
      <w:r w:rsidRPr="002221AA">
        <w:rPr>
          <w:rFonts w:ascii="Calibri" w:hAnsi="Calibri"/>
          <w:b/>
          <w:color w:val="FF0000"/>
          <w:sz w:val="22"/>
          <w:szCs w:val="22"/>
          <w:lang w:val="sk-SK"/>
        </w:rPr>
        <w:t xml:space="preserve"> x OPV</w:t>
      </w:r>
      <w:r>
        <w:rPr>
          <w:rFonts w:ascii="Calibri" w:hAnsi="Calibri"/>
          <w:b/>
          <w:color w:val="FF0000"/>
          <w:sz w:val="22"/>
          <w:szCs w:val="22"/>
          <w:lang w:val="sk-SK"/>
        </w:rPr>
        <w:t>/10</w:t>
      </w:r>
      <w:r w:rsidRPr="002D2C33">
        <w:rPr>
          <w:rFonts w:ascii="Calibri" w:hAnsi="Calibri"/>
          <w:b/>
          <w:color w:val="FF0000"/>
          <w:sz w:val="22"/>
          <w:szCs w:val="22"/>
          <w:lang w:val="sk-SK"/>
        </w:rPr>
        <w:t>)</w:t>
      </w:r>
      <w:r w:rsidRPr="002D2C33">
        <w:rPr>
          <w:rFonts w:ascii="Calibri" w:hAnsi="Calibri"/>
          <w:b/>
          <w:sz w:val="22"/>
          <w:szCs w:val="22"/>
          <w:lang w:val="sk-SK"/>
        </w:rPr>
        <w:t>****</w:t>
      </w:r>
      <w:r>
        <w:rPr>
          <w:rFonts w:ascii="Calibri" w:hAnsi="Calibri"/>
          <w:b/>
          <w:sz w:val="22"/>
          <w:szCs w:val="22"/>
          <w:lang w:val="sk-SK"/>
        </w:rPr>
        <w:t xml:space="preserve">, </w:t>
      </w:r>
    </w:p>
    <w:p w:rsidR="00C06C20" w:rsidRDefault="00C06C20" w:rsidP="00C06C20">
      <w:pPr>
        <w:rPr>
          <w:rFonts w:ascii="Calibri" w:hAnsi="Calibri"/>
          <w:lang w:val="sk-SK"/>
        </w:rPr>
      </w:pPr>
      <w:r>
        <w:rPr>
          <w:rFonts w:ascii="Calibri" w:hAnsi="Calibri"/>
          <w:b/>
          <w:sz w:val="22"/>
          <w:szCs w:val="22"/>
          <w:lang w:val="sk-SK"/>
        </w:rPr>
        <w:t>pričom  h</w:t>
      </w:r>
      <w:r w:rsidRPr="00814555">
        <w:rPr>
          <w:rFonts w:ascii="Calibri" w:hAnsi="Calibri"/>
          <w:b/>
          <w:sz w:val="22"/>
          <w:szCs w:val="22"/>
          <w:lang w:val="sk-SK"/>
        </w:rPr>
        <w:t xml:space="preserve"> = [-10, +10] %</w:t>
      </w:r>
      <w:r>
        <w:t xml:space="preserve"> </w:t>
      </w:r>
      <w:r w:rsidRPr="00814555">
        <w:rPr>
          <w:rFonts w:ascii="Calibri" w:hAnsi="Calibri"/>
        </w:rPr>
        <w:t xml:space="preserve">bodu </w:t>
      </w:r>
      <w:r w:rsidRPr="0048525D">
        <w:rPr>
          <w:rFonts w:ascii="Calibri" w:hAnsi="Calibri"/>
          <w:lang w:val="sk-SK"/>
        </w:rPr>
        <w:t>základnej kapitačnej platby</w:t>
      </w:r>
    </w:p>
    <w:p w:rsidR="00C06C20" w:rsidRDefault="00C06C20" w:rsidP="00C06C20">
      <w:pPr>
        <w:rPr>
          <w:rFonts w:ascii="Calibri" w:hAnsi="Calibri"/>
          <w:lang w:val="sk-SK"/>
        </w:rPr>
      </w:pPr>
    </w:p>
    <w:p w:rsidR="00C06C20" w:rsidRDefault="00C06C20" w:rsidP="00C06C20">
      <w:pPr>
        <w:pStyle w:val="Odsekzoznamu"/>
        <w:numPr>
          <w:ilvl w:val="0"/>
          <w:numId w:val="26"/>
        </w:numPr>
      </w:pPr>
      <w:r>
        <w:t>OPV (optimálna preventívna výkonnosť) = 50 prp./mes</w:t>
      </w:r>
    </w:p>
    <w:p w:rsidR="00C06C20" w:rsidRDefault="00C06C20" w:rsidP="00C06C20">
      <w:pPr>
        <w:pStyle w:val="Odsekzoznamu"/>
        <w:numPr>
          <w:ilvl w:val="0"/>
          <w:numId w:val="26"/>
        </w:numPr>
      </w:pPr>
      <w:r>
        <w:t>RPLM v príklade = 1900 pacientov</w:t>
      </w:r>
    </w:p>
    <w:p w:rsidR="00C06C20" w:rsidRDefault="00C06C20" w:rsidP="00C06C20">
      <w:pPr>
        <w:pStyle w:val="Odsekzoznamu"/>
        <w:numPr>
          <w:ilvl w:val="0"/>
          <w:numId w:val="26"/>
        </w:numPr>
      </w:pPr>
      <w:r>
        <w:t>POPVM = (OPV x 12) / (RLPM /2) / 24 = 2,625%</w:t>
      </w:r>
    </w:p>
    <w:p w:rsidR="00C06C20" w:rsidRDefault="00C06C20" w:rsidP="00C06C20">
      <w:pPr>
        <w:pStyle w:val="Odsekzoznamu"/>
        <w:numPr>
          <w:ilvl w:val="0"/>
          <w:numId w:val="26"/>
        </w:numPr>
      </w:pPr>
      <w:r>
        <w:t xml:space="preserve">hn = výkonnostná hladina (pásmo) v intervale -10 až +10 % bodu </w:t>
      </w:r>
      <w:r w:rsidRPr="009B3CBC">
        <w:t>základnej kapitačnej platby</w:t>
      </w:r>
      <w:r>
        <w:t>: h = POPVM + (n x OVP/10)</w:t>
      </w:r>
    </w:p>
    <w:p w:rsidR="00C06C20" w:rsidRDefault="00C06C20" w:rsidP="00C06C20">
      <w:pPr>
        <w:pBdr>
          <w:bottom w:val="single" w:sz="6" w:space="1" w:color="auto"/>
        </w:pBdr>
        <w:rPr>
          <w:rFonts w:ascii="Calibri" w:hAnsi="Calibri"/>
          <w:sz w:val="22"/>
          <w:szCs w:val="22"/>
          <w:lang w:val="sk-SK"/>
        </w:rPr>
      </w:pPr>
    </w:p>
    <w:tbl>
      <w:tblPr>
        <w:tblStyle w:val="Mriekatabuky"/>
        <w:tblW w:w="9498" w:type="dxa"/>
        <w:tblInd w:w="-34" w:type="dxa"/>
        <w:tblLook w:val="04A0"/>
      </w:tblPr>
      <w:tblGrid>
        <w:gridCol w:w="2838"/>
        <w:gridCol w:w="1275"/>
        <w:gridCol w:w="1275"/>
        <w:gridCol w:w="1275"/>
        <w:gridCol w:w="1417"/>
        <w:gridCol w:w="1418"/>
      </w:tblGrid>
      <w:tr w:rsidR="00C06C20" w:rsidTr="000C5710">
        <w:tc>
          <w:tcPr>
            <w:tcW w:w="2838" w:type="dxa"/>
            <w:shd w:val="clear" w:color="auto" w:fill="D9D9D9" w:themeFill="background1" w:themeFillShade="D9"/>
          </w:tcPr>
          <w:p w:rsidR="00C06C20" w:rsidRPr="00C558D0" w:rsidRDefault="00C06C20" w:rsidP="000C5710">
            <w:pPr>
              <w:rPr>
                <w:rFonts w:ascii="Calibri" w:hAnsi="Calibri"/>
                <w:b/>
                <w:sz w:val="22"/>
                <w:szCs w:val="22"/>
                <w:lang w:val="sk-SK"/>
              </w:rPr>
            </w:pPr>
            <w:r w:rsidRPr="00C558D0">
              <w:rPr>
                <w:rFonts w:ascii="Calibri" w:hAnsi="Calibri"/>
                <w:b/>
                <w:sz w:val="22"/>
                <w:szCs w:val="22"/>
                <w:lang w:val="sk-SK"/>
              </w:rPr>
              <w:t>Základná kapitácia? 3,</w:t>
            </w:r>
            <w:r>
              <w:rPr>
                <w:rFonts w:ascii="Calibri" w:hAnsi="Calibri"/>
                <w:b/>
                <w:sz w:val="22"/>
                <w:szCs w:val="22"/>
                <w:lang w:val="sk-SK"/>
              </w:rPr>
              <w:t>-</w:t>
            </w:r>
            <w:r w:rsidRPr="00C558D0">
              <w:rPr>
                <w:rFonts w:ascii="Calibri" w:hAnsi="Calibri"/>
                <w:b/>
                <w:sz w:val="22"/>
                <w:szCs w:val="22"/>
                <w:lang w:val="sk-SK"/>
              </w:rPr>
              <w:t xml:space="preserve"> EUR</w:t>
            </w:r>
          </w:p>
        </w:tc>
        <w:tc>
          <w:tcPr>
            <w:tcW w:w="1275" w:type="dxa"/>
            <w:shd w:val="clear" w:color="auto" w:fill="D9D9D9" w:themeFill="background1" w:themeFillShade="D9"/>
          </w:tcPr>
          <w:p w:rsidR="00C06C20" w:rsidRPr="00C558D0" w:rsidRDefault="00C06C20" w:rsidP="000C5710">
            <w:pPr>
              <w:rPr>
                <w:rFonts w:ascii="Calibri" w:hAnsi="Calibri"/>
                <w:b/>
                <w:sz w:val="22"/>
                <w:szCs w:val="22"/>
                <w:lang w:val="sk-SK"/>
              </w:rPr>
            </w:pPr>
            <w:r>
              <w:rPr>
                <w:rFonts w:ascii="Calibri" w:hAnsi="Calibri"/>
                <w:b/>
                <w:sz w:val="22"/>
                <w:szCs w:val="22"/>
                <w:lang w:val="sk-SK"/>
              </w:rPr>
              <w:t>3,00 x hn</w:t>
            </w:r>
          </w:p>
        </w:tc>
        <w:tc>
          <w:tcPr>
            <w:tcW w:w="1275" w:type="dxa"/>
            <w:shd w:val="clear" w:color="auto" w:fill="FFFFFF" w:themeFill="background1"/>
          </w:tcPr>
          <w:p w:rsidR="00C06C20" w:rsidRPr="00C558D0" w:rsidRDefault="00C06C20" w:rsidP="000C5710">
            <w:pPr>
              <w:rPr>
                <w:rFonts w:ascii="Calibri" w:hAnsi="Calibri"/>
                <w:b/>
                <w:sz w:val="22"/>
                <w:szCs w:val="22"/>
                <w:lang w:val="sk-SK"/>
              </w:rPr>
            </w:pPr>
            <w:r>
              <w:rPr>
                <w:rFonts w:ascii="Calibri" w:hAnsi="Calibri"/>
                <w:b/>
                <w:sz w:val="22"/>
                <w:szCs w:val="22"/>
                <w:lang w:val="sk-SK"/>
              </w:rPr>
              <w:t>1000 / 27</w:t>
            </w:r>
          </w:p>
        </w:tc>
        <w:tc>
          <w:tcPr>
            <w:tcW w:w="1275" w:type="dxa"/>
            <w:shd w:val="clear" w:color="auto" w:fill="FFFFFF" w:themeFill="background1"/>
          </w:tcPr>
          <w:p w:rsidR="00C06C20" w:rsidRPr="00C558D0" w:rsidRDefault="00C06C20" w:rsidP="000C5710">
            <w:pPr>
              <w:rPr>
                <w:rFonts w:ascii="Calibri" w:hAnsi="Calibri"/>
                <w:b/>
                <w:sz w:val="22"/>
                <w:szCs w:val="22"/>
                <w:lang w:val="sk-SK"/>
              </w:rPr>
            </w:pPr>
            <w:r>
              <w:rPr>
                <w:rFonts w:ascii="Calibri" w:hAnsi="Calibri"/>
                <w:b/>
                <w:sz w:val="22"/>
                <w:szCs w:val="22"/>
                <w:lang w:val="sk-SK"/>
              </w:rPr>
              <w:t>1500 /39</w:t>
            </w:r>
          </w:p>
        </w:tc>
        <w:tc>
          <w:tcPr>
            <w:tcW w:w="1417" w:type="dxa"/>
            <w:shd w:val="clear" w:color="auto" w:fill="FFFFFF" w:themeFill="background1"/>
          </w:tcPr>
          <w:p w:rsidR="00C06C20" w:rsidRPr="00C558D0" w:rsidRDefault="00C06C20" w:rsidP="000C5710">
            <w:pPr>
              <w:rPr>
                <w:rFonts w:ascii="Calibri" w:hAnsi="Calibri"/>
                <w:b/>
                <w:sz w:val="22"/>
                <w:szCs w:val="22"/>
                <w:lang w:val="sk-SK"/>
              </w:rPr>
            </w:pPr>
            <w:r>
              <w:rPr>
                <w:rFonts w:ascii="Calibri" w:hAnsi="Calibri"/>
                <w:b/>
                <w:sz w:val="22"/>
                <w:szCs w:val="22"/>
                <w:lang w:val="sk-SK"/>
              </w:rPr>
              <w:t>2500 / 66</w:t>
            </w:r>
          </w:p>
        </w:tc>
        <w:tc>
          <w:tcPr>
            <w:tcW w:w="1418" w:type="dxa"/>
            <w:shd w:val="clear" w:color="auto" w:fill="FFFFFF" w:themeFill="background1"/>
          </w:tcPr>
          <w:p w:rsidR="00C06C20" w:rsidRPr="00C558D0" w:rsidRDefault="00C06C20" w:rsidP="000C5710">
            <w:pPr>
              <w:rPr>
                <w:rFonts w:ascii="Calibri" w:hAnsi="Calibri"/>
                <w:b/>
                <w:sz w:val="22"/>
                <w:szCs w:val="22"/>
                <w:lang w:val="sk-SK"/>
              </w:rPr>
            </w:pPr>
            <w:r w:rsidRPr="00C558D0">
              <w:rPr>
                <w:rFonts w:ascii="Calibri" w:hAnsi="Calibri"/>
                <w:b/>
                <w:sz w:val="22"/>
                <w:szCs w:val="22"/>
                <w:lang w:val="sk-SK"/>
              </w:rPr>
              <w:t>5000 / 131</w:t>
            </w: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-10% (+) = 2,625% - 50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- 0,30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16 - 0</w:t>
            </w:r>
          </w:p>
        </w:tc>
        <w:tc>
          <w:tcPr>
            <w:tcW w:w="1418"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 xml:space="preserve">81 – 0 </w:t>
            </w:r>
            <w:r w:rsidRPr="007F4992">
              <w:rPr>
                <w:rFonts w:ascii="Calibri" w:hAnsi="Calibri"/>
                <w:b/>
                <w:color w:val="FF0000"/>
                <w:sz w:val="16"/>
                <w:szCs w:val="16"/>
                <w:lang w:val="sk-SK"/>
              </w:rPr>
              <w:t>-1500E</w:t>
            </w: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-9% = 2,625% - 45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- 0,27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-8% = 2,625% - 40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- 0,24 EUR</w:t>
            </w:r>
          </w:p>
        </w:tc>
        <w:tc>
          <w:tcPr>
            <w:tcW w:w="1275" w:type="dxa"/>
          </w:tcPr>
          <w:p w:rsidR="00C06C20" w:rsidRDefault="00C06C20" w:rsidP="000C5710">
            <w:pPr>
              <w:rPr>
                <w:rFonts w:ascii="Calibri" w:hAnsi="Calibri"/>
                <w:sz w:val="22"/>
                <w:szCs w:val="22"/>
                <w:lang w:val="sk-SK"/>
              </w:rPr>
            </w:pPr>
          </w:p>
        </w:tc>
        <w:tc>
          <w:tcPr>
            <w:tcW w:w="1275"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 xml:space="preserve">3 – 0 </w:t>
            </w:r>
            <w:r w:rsidRPr="00BA07D9">
              <w:rPr>
                <w:rFonts w:ascii="Calibri" w:hAnsi="Calibri"/>
                <w:b/>
                <w:color w:val="FF0000"/>
                <w:sz w:val="16"/>
                <w:szCs w:val="16"/>
                <w:lang w:val="sk-SK"/>
              </w:rPr>
              <w:t>-360E</w:t>
            </w:r>
          </w:p>
        </w:tc>
        <w:tc>
          <w:tcPr>
            <w:tcW w:w="1417" w:type="dxa"/>
          </w:tcPr>
          <w:p w:rsidR="00C06C20" w:rsidRPr="00BA07D9" w:rsidRDefault="00C06C20" w:rsidP="000C5710">
            <w:pPr>
              <w:rPr>
                <w:rFonts w:ascii="Calibri" w:hAnsi="Calibri"/>
                <w:sz w:val="16"/>
                <w:szCs w:val="16"/>
                <w:lang w:val="sk-SK"/>
              </w:rPr>
            </w:pPr>
            <w:r>
              <w:rPr>
                <w:rFonts w:ascii="Calibri" w:hAnsi="Calibri"/>
                <w:sz w:val="22"/>
                <w:szCs w:val="22"/>
                <w:lang w:val="sk-SK"/>
              </w:rPr>
              <w:t xml:space="preserve">30–26 </w:t>
            </w:r>
            <w:r w:rsidRPr="00BA07D9">
              <w:rPr>
                <w:rFonts w:ascii="Calibri" w:hAnsi="Calibri"/>
                <w:b/>
                <w:color w:val="FF0000"/>
                <w:sz w:val="16"/>
                <w:szCs w:val="16"/>
                <w:lang w:val="sk-SK"/>
              </w:rPr>
              <w:t>-600E</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-7% = 2,625% - 35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- 0,21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8 - 4</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-6% = 2,625% - 30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- 0,18 EUR</w:t>
            </w:r>
          </w:p>
        </w:tc>
        <w:tc>
          <w:tcPr>
            <w:tcW w:w="1275"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1 - 0</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13 - 9</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-5% = 2,625% - 25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- 0,15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6 - 2</w:t>
            </w: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-4% = 2,625% - 20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- 0,12 EUR</w:t>
            </w:r>
          </w:p>
        </w:tc>
        <w:tc>
          <w:tcPr>
            <w:tcW w:w="1275" w:type="dxa"/>
          </w:tcPr>
          <w:p w:rsidR="00C06C20" w:rsidRPr="009406F2" w:rsidRDefault="00C06C20" w:rsidP="000C5710">
            <w:pPr>
              <w:rPr>
                <w:rFonts w:ascii="Calibri" w:hAnsi="Calibri"/>
                <w:sz w:val="16"/>
                <w:szCs w:val="16"/>
                <w:lang w:val="sk-SK"/>
              </w:rPr>
            </w:pPr>
            <w:r>
              <w:rPr>
                <w:rFonts w:ascii="Calibri" w:hAnsi="Calibri"/>
                <w:sz w:val="22"/>
                <w:szCs w:val="22"/>
                <w:lang w:val="sk-SK"/>
              </w:rPr>
              <w:t xml:space="preserve">11 – 7 </w:t>
            </w:r>
            <w:r w:rsidRPr="009406F2">
              <w:rPr>
                <w:rFonts w:ascii="Calibri" w:hAnsi="Calibri"/>
                <w:b/>
                <w:color w:val="FF0000"/>
                <w:sz w:val="16"/>
                <w:szCs w:val="16"/>
                <w:lang w:val="sk-SK"/>
              </w:rPr>
              <w:t>-120E</w:t>
            </w: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r>
              <w:rPr>
                <w:rFonts w:ascii="Calibri" w:hAnsi="Calibri"/>
                <w:sz w:val="22"/>
                <w:szCs w:val="22"/>
                <w:lang w:val="sk-SK"/>
              </w:rPr>
              <w:t xml:space="preserve">115–111 </w:t>
            </w:r>
            <w:r w:rsidRPr="007F4992">
              <w:rPr>
                <w:rFonts w:ascii="Calibri" w:hAnsi="Calibri"/>
                <w:b/>
                <w:color w:val="FF0000"/>
                <w:sz w:val="16"/>
                <w:szCs w:val="16"/>
                <w:lang w:val="sk-SK"/>
              </w:rPr>
              <w:t>-600E</w:t>
            </w: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-3% = 2,625% - 15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- 0,09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16 - 12</w:t>
            </w:r>
          </w:p>
        </w:tc>
        <w:tc>
          <w:tcPr>
            <w:tcW w:w="1275" w:type="dxa"/>
          </w:tcPr>
          <w:p w:rsidR="00C06C20" w:rsidRDefault="00C06C20" w:rsidP="000C5710">
            <w:pPr>
              <w:rPr>
                <w:rFonts w:ascii="Calibri" w:hAnsi="Calibri"/>
                <w:sz w:val="22"/>
                <w:szCs w:val="22"/>
                <w:lang w:val="sk-SK"/>
              </w:rPr>
            </w:pPr>
          </w:p>
        </w:tc>
        <w:tc>
          <w:tcPr>
            <w:tcW w:w="1417" w:type="dxa"/>
          </w:tcPr>
          <w:p w:rsidR="00C06C20" w:rsidRPr="00BA07D9" w:rsidRDefault="00C06C20" w:rsidP="000C5710">
            <w:pPr>
              <w:rPr>
                <w:rFonts w:ascii="Calibri" w:hAnsi="Calibri"/>
                <w:sz w:val="16"/>
                <w:szCs w:val="16"/>
                <w:lang w:val="sk-SK"/>
              </w:rPr>
            </w:pPr>
            <w:r>
              <w:rPr>
                <w:rFonts w:ascii="Calibri" w:hAnsi="Calibri"/>
                <w:sz w:val="22"/>
                <w:szCs w:val="22"/>
                <w:lang w:val="sk-SK"/>
              </w:rPr>
              <w:t xml:space="preserve">55–51 </w:t>
            </w:r>
            <w:r w:rsidRPr="00BA07D9">
              <w:rPr>
                <w:rFonts w:ascii="Calibri" w:hAnsi="Calibri"/>
                <w:b/>
                <w:color w:val="FF0000"/>
                <w:sz w:val="16"/>
                <w:szCs w:val="16"/>
                <w:lang w:val="sk-SK"/>
              </w:rPr>
              <w:t>-225E</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-2% = 2,625% - 10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- 0,06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21 - 17</w:t>
            </w:r>
          </w:p>
        </w:tc>
        <w:tc>
          <w:tcPr>
            <w:tcW w:w="1275" w:type="dxa"/>
          </w:tcPr>
          <w:p w:rsidR="00C06C20" w:rsidRPr="00BA07D9" w:rsidRDefault="00C06C20" w:rsidP="000C5710">
            <w:pPr>
              <w:rPr>
                <w:rFonts w:ascii="Calibri" w:hAnsi="Calibri"/>
                <w:sz w:val="16"/>
                <w:szCs w:val="16"/>
                <w:lang w:val="sk-SK"/>
              </w:rPr>
            </w:pPr>
            <w:r>
              <w:rPr>
                <w:rFonts w:ascii="Calibri" w:hAnsi="Calibri"/>
                <w:sz w:val="22"/>
                <w:szCs w:val="22"/>
                <w:lang w:val="sk-SK"/>
              </w:rPr>
              <w:t xml:space="preserve">33 – 29 </w:t>
            </w:r>
            <w:r w:rsidRPr="00BA07D9">
              <w:rPr>
                <w:rFonts w:ascii="Calibri" w:hAnsi="Calibri"/>
                <w:b/>
                <w:color w:val="FF0000"/>
                <w:sz w:val="16"/>
                <w:szCs w:val="16"/>
                <w:lang w:val="sk-SK"/>
              </w:rPr>
              <w:t>-90E</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-1% = 2,625% - 5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- 0,03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26 - 22</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38 - 34</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shd w:val="clear" w:color="auto" w:fill="F2F2F2" w:themeFill="background1" w:themeFillShade="F2"/>
          </w:tcPr>
          <w:p w:rsidR="00C06C20" w:rsidRDefault="00C06C20" w:rsidP="000C5710">
            <w:pPr>
              <w:rPr>
                <w:rFonts w:ascii="Calibri" w:hAnsi="Calibri"/>
                <w:sz w:val="22"/>
                <w:szCs w:val="22"/>
                <w:lang w:val="sk-SK"/>
              </w:rPr>
            </w:pPr>
            <w:r w:rsidRPr="002221AA">
              <w:rPr>
                <w:rFonts w:ascii="Calibri" w:hAnsi="Calibri"/>
                <w:b/>
                <w:color w:val="FF0000"/>
                <w:sz w:val="22"/>
                <w:szCs w:val="22"/>
                <w:lang w:val="sk-SK"/>
              </w:rPr>
              <w:t>h</w:t>
            </w:r>
            <w:r>
              <w:rPr>
                <w:rFonts w:ascii="Calibri" w:hAnsi="Calibri"/>
                <w:b/>
                <w:color w:val="FF0000"/>
                <w:sz w:val="22"/>
                <w:szCs w:val="22"/>
                <w:lang w:val="sk-SK"/>
              </w:rPr>
              <w:t>n</w:t>
            </w:r>
            <w:r w:rsidRPr="002221AA">
              <w:rPr>
                <w:rFonts w:ascii="Calibri" w:hAnsi="Calibri"/>
                <w:b/>
                <w:color w:val="FF0000"/>
                <w:sz w:val="22"/>
                <w:szCs w:val="22"/>
                <w:lang w:val="sk-SK"/>
              </w:rPr>
              <w:t xml:space="preserve"> = </w:t>
            </w:r>
            <w:r>
              <w:rPr>
                <w:rFonts w:ascii="Calibri" w:hAnsi="Calibri"/>
                <w:b/>
                <w:color w:val="FF0000"/>
                <w:sz w:val="22"/>
                <w:szCs w:val="22"/>
                <w:lang w:val="sk-SK"/>
              </w:rPr>
              <w:t>2,625% (</w:t>
            </w:r>
            <w:r w:rsidRPr="002221AA">
              <w:rPr>
                <w:rFonts w:ascii="Calibri" w:hAnsi="Calibri"/>
                <w:b/>
                <w:color w:val="FF0000"/>
                <w:sz w:val="22"/>
                <w:szCs w:val="22"/>
                <w:lang w:val="sk-SK"/>
              </w:rPr>
              <w:t xml:space="preserve"> + </w:t>
            </w:r>
            <w:r>
              <w:rPr>
                <w:rFonts w:ascii="Calibri" w:hAnsi="Calibri"/>
                <w:b/>
                <w:color w:val="FF0000"/>
                <w:sz w:val="22"/>
                <w:szCs w:val="22"/>
                <w:lang w:val="sk-SK"/>
              </w:rPr>
              <w:t>/-  0 pac.)</w:t>
            </w:r>
          </w:p>
        </w:tc>
        <w:tc>
          <w:tcPr>
            <w:tcW w:w="1275" w:type="dxa"/>
            <w:shd w:val="clear" w:color="auto" w:fill="D9D9D9" w:themeFill="background1" w:themeFillShade="D9"/>
          </w:tcPr>
          <w:p w:rsidR="00C06C20" w:rsidRPr="003B7314" w:rsidRDefault="00C06C20" w:rsidP="000C5710">
            <w:pPr>
              <w:rPr>
                <w:rFonts w:ascii="Calibri" w:hAnsi="Calibri"/>
                <w:b/>
                <w:color w:val="FF0000"/>
                <w:sz w:val="22"/>
                <w:szCs w:val="22"/>
                <w:lang w:val="sk-SK"/>
              </w:rPr>
            </w:pPr>
            <w:r w:rsidRPr="003B7314">
              <w:rPr>
                <w:rFonts w:ascii="Calibri" w:hAnsi="Calibri"/>
                <w:b/>
                <w:color w:val="FF0000"/>
                <w:sz w:val="22"/>
                <w:szCs w:val="22"/>
                <w:lang w:val="sk-SK"/>
              </w:rPr>
              <w:t>3,00+0EUR</w:t>
            </w:r>
          </w:p>
        </w:tc>
        <w:tc>
          <w:tcPr>
            <w:tcW w:w="1275" w:type="dxa"/>
            <w:shd w:val="clear" w:color="auto" w:fill="F2F2F2" w:themeFill="background1" w:themeFillShade="F2"/>
          </w:tcPr>
          <w:p w:rsidR="00C06C20" w:rsidRPr="003B7314" w:rsidRDefault="00C06C20" w:rsidP="000C5710">
            <w:pPr>
              <w:rPr>
                <w:rFonts w:ascii="Calibri" w:hAnsi="Calibri"/>
                <w:b/>
                <w:color w:val="FF0000"/>
                <w:sz w:val="22"/>
                <w:szCs w:val="22"/>
                <w:lang w:val="sk-SK"/>
              </w:rPr>
            </w:pPr>
            <w:r w:rsidRPr="003B7314">
              <w:rPr>
                <w:rFonts w:ascii="Calibri" w:hAnsi="Calibri"/>
                <w:b/>
                <w:color w:val="FF0000"/>
                <w:sz w:val="22"/>
                <w:szCs w:val="22"/>
                <w:lang w:val="sk-SK"/>
              </w:rPr>
              <w:t>27 pac.</w:t>
            </w:r>
          </w:p>
        </w:tc>
        <w:tc>
          <w:tcPr>
            <w:tcW w:w="1275" w:type="dxa"/>
            <w:shd w:val="clear" w:color="auto" w:fill="F2F2F2" w:themeFill="background1" w:themeFillShade="F2"/>
          </w:tcPr>
          <w:p w:rsidR="00C06C20" w:rsidRPr="003B7314" w:rsidRDefault="00C06C20" w:rsidP="000C5710">
            <w:pPr>
              <w:rPr>
                <w:rFonts w:ascii="Calibri" w:hAnsi="Calibri"/>
                <w:b/>
                <w:color w:val="FF0000"/>
                <w:sz w:val="22"/>
                <w:szCs w:val="22"/>
                <w:lang w:val="sk-SK"/>
              </w:rPr>
            </w:pPr>
            <w:r w:rsidRPr="003B7314">
              <w:rPr>
                <w:rFonts w:ascii="Calibri" w:hAnsi="Calibri"/>
                <w:b/>
                <w:color w:val="FF0000"/>
                <w:sz w:val="22"/>
                <w:szCs w:val="22"/>
                <w:lang w:val="sk-SK"/>
              </w:rPr>
              <w:t>39 pac.</w:t>
            </w:r>
          </w:p>
        </w:tc>
        <w:tc>
          <w:tcPr>
            <w:tcW w:w="1417" w:type="dxa"/>
            <w:shd w:val="clear" w:color="auto" w:fill="F2F2F2" w:themeFill="background1" w:themeFillShade="F2"/>
          </w:tcPr>
          <w:p w:rsidR="00C06C20" w:rsidRPr="003B7314" w:rsidRDefault="00C06C20" w:rsidP="000C5710">
            <w:pPr>
              <w:rPr>
                <w:rFonts w:ascii="Calibri" w:hAnsi="Calibri"/>
                <w:b/>
                <w:color w:val="FF0000"/>
                <w:sz w:val="22"/>
                <w:szCs w:val="22"/>
                <w:lang w:val="sk-SK"/>
              </w:rPr>
            </w:pPr>
            <w:r w:rsidRPr="003B7314">
              <w:rPr>
                <w:rFonts w:ascii="Calibri" w:hAnsi="Calibri"/>
                <w:b/>
                <w:color w:val="FF0000"/>
                <w:sz w:val="22"/>
                <w:szCs w:val="22"/>
                <w:lang w:val="sk-SK"/>
              </w:rPr>
              <w:t>66 pac.</w:t>
            </w:r>
          </w:p>
        </w:tc>
        <w:tc>
          <w:tcPr>
            <w:tcW w:w="1418" w:type="dxa"/>
            <w:shd w:val="clear" w:color="auto" w:fill="F2F2F2" w:themeFill="background1" w:themeFillShade="F2"/>
          </w:tcPr>
          <w:p w:rsidR="00C06C20" w:rsidRPr="003B7314" w:rsidRDefault="00C06C20" w:rsidP="000C5710">
            <w:pPr>
              <w:rPr>
                <w:rFonts w:ascii="Calibri" w:hAnsi="Calibri"/>
                <w:b/>
                <w:color w:val="FF0000"/>
                <w:sz w:val="22"/>
                <w:szCs w:val="22"/>
                <w:lang w:val="sk-SK"/>
              </w:rPr>
            </w:pPr>
            <w:r w:rsidRPr="003B7314">
              <w:rPr>
                <w:rFonts w:ascii="Calibri" w:hAnsi="Calibri"/>
                <w:b/>
                <w:color w:val="FF0000"/>
                <w:sz w:val="22"/>
                <w:szCs w:val="22"/>
                <w:lang w:val="sk-SK"/>
              </w:rPr>
              <w:t>131 pac.</w:t>
            </w: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+1% = 2,625% + 5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+ 0,03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28 - 32</w:t>
            </w: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r>
              <w:rPr>
                <w:rFonts w:ascii="Calibri" w:hAnsi="Calibri"/>
                <w:sz w:val="22"/>
                <w:szCs w:val="22"/>
                <w:lang w:val="sk-SK"/>
              </w:rPr>
              <w:t>67 - 72</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+2% = 2,625% + 10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+ 0,06 EUR</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 xml:space="preserve">33–37 </w:t>
            </w:r>
            <w:r w:rsidRPr="009406F2">
              <w:rPr>
                <w:rFonts w:ascii="Calibri" w:hAnsi="Calibri"/>
                <w:b/>
                <w:color w:val="FF0000"/>
                <w:sz w:val="16"/>
                <w:szCs w:val="16"/>
                <w:lang w:val="sk-SK"/>
              </w:rPr>
              <w:t>+60E</w:t>
            </w: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45 - 49</w:t>
            </w:r>
          </w:p>
        </w:tc>
        <w:tc>
          <w:tcPr>
            <w:tcW w:w="1417" w:type="dxa"/>
          </w:tcPr>
          <w:p w:rsidR="00C06C20" w:rsidRDefault="00C06C20" w:rsidP="000C5710">
            <w:pPr>
              <w:rPr>
                <w:rFonts w:ascii="Calibri" w:hAnsi="Calibri"/>
                <w:sz w:val="22"/>
                <w:szCs w:val="22"/>
                <w:lang w:val="sk-SK"/>
              </w:rPr>
            </w:pPr>
            <w:r>
              <w:rPr>
                <w:rFonts w:ascii="Calibri" w:hAnsi="Calibri"/>
                <w:sz w:val="22"/>
                <w:szCs w:val="22"/>
                <w:lang w:val="sk-SK"/>
              </w:rPr>
              <w:t>73 - 76</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+3% = 2,625% + 15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+ 0,09 EUR</w:t>
            </w:r>
          </w:p>
        </w:tc>
        <w:tc>
          <w:tcPr>
            <w:tcW w:w="1275"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38 - ...(41)</w:t>
            </w: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r>
              <w:rPr>
                <w:rFonts w:ascii="Calibri" w:hAnsi="Calibri"/>
                <w:sz w:val="22"/>
                <w:szCs w:val="22"/>
                <w:lang w:val="sk-SK"/>
              </w:rPr>
              <w:t>142–146</w:t>
            </w:r>
            <w:r w:rsidRPr="007F4992">
              <w:rPr>
                <w:rFonts w:ascii="Calibri" w:hAnsi="Calibri"/>
                <w:b/>
                <w:color w:val="FF0000"/>
                <w:sz w:val="16"/>
                <w:szCs w:val="16"/>
                <w:lang w:val="sk-SK"/>
              </w:rPr>
              <w:t>+450E</w:t>
            </w: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+4% = 2,625% + 20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+ 0,12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r>
              <w:rPr>
                <w:rFonts w:ascii="Calibri" w:hAnsi="Calibri"/>
                <w:sz w:val="22"/>
                <w:szCs w:val="22"/>
                <w:lang w:val="sk-SK"/>
              </w:rPr>
              <w:t xml:space="preserve">55–59 </w:t>
            </w:r>
            <w:r w:rsidRPr="00BA07D9">
              <w:rPr>
                <w:rFonts w:ascii="Calibri" w:hAnsi="Calibri"/>
                <w:b/>
                <w:color w:val="FF0000"/>
                <w:sz w:val="16"/>
                <w:szCs w:val="16"/>
                <w:lang w:val="sk-SK"/>
              </w:rPr>
              <w:t>+180E</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+5% = 2,625% + 25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+ 0,15 EUR</w:t>
            </w:r>
          </w:p>
        </w:tc>
        <w:tc>
          <w:tcPr>
            <w:tcW w:w="1275" w:type="dxa"/>
          </w:tcPr>
          <w:p w:rsidR="00C06C20" w:rsidRDefault="00C06C20" w:rsidP="000C5710">
            <w:pPr>
              <w:rPr>
                <w:rFonts w:ascii="Calibri" w:hAnsi="Calibri"/>
                <w:sz w:val="22"/>
                <w:szCs w:val="22"/>
                <w:lang w:val="sk-SK"/>
              </w:rPr>
            </w:pPr>
          </w:p>
        </w:tc>
        <w:tc>
          <w:tcPr>
            <w:tcW w:w="1275" w:type="dxa"/>
            <w:shd w:val="clear" w:color="auto" w:fill="FBD4B4" w:themeFill="accent6" w:themeFillTint="66"/>
          </w:tcPr>
          <w:p w:rsidR="00C06C20" w:rsidRPr="00777498" w:rsidRDefault="00C06C20" w:rsidP="000C5710">
            <w:pPr>
              <w:rPr>
                <w:rFonts w:ascii="Calibri" w:hAnsi="Calibri"/>
                <w:sz w:val="22"/>
                <w:szCs w:val="22"/>
              </w:rPr>
            </w:pPr>
            <w:r>
              <w:rPr>
                <w:rFonts w:ascii="Calibri" w:hAnsi="Calibri"/>
                <w:sz w:val="22"/>
                <w:szCs w:val="22"/>
              </w:rPr>
              <w:t>60 - …(62)</w:t>
            </w: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+6% = 2,625% + 30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+ 0,18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+7% = 2,625% + 35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+ 0,21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tcPr>
          <w:p w:rsidR="00C06C20" w:rsidRPr="00DD7F02" w:rsidRDefault="00C06C20" w:rsidP="000C5710">
            <w:pPr>
              <w:rPr>
                <w:rFonts w:ascii="Calibri" w:hAnsi="Calibri"/>
                <w:sz w:val="16"/>
                <w:szCs w:val="16"/>
                <w:lang w:val="sk-SK"/>
              </w:rPr>
            </w:pPr>
            <w:r>
              <w:rPr>
                <w:rFonts w:ascii="Calibri" w:hAnsi="Calibri"/>
                <w:sz w:val="22"/>
                <w:szCs w:val="22"/>
                <w:lang w:val="sk-SK"/>
              </w:rPr>
              <w:t>97–101</w:t>
            </w:r>
            <w:r w:rsidRPr="00DD7F02">
              <w:rPr>
                <w:rFonts w:ascii="Calibri" w:hAnsi="Calibri"/>
                <w:b/>
                <w:color w:val="FF0000"/>
                <w:sz w:val="16"/>
                <w:szCs w:val="16"/>
                <w:lang w:val="sk-SK"/>
              </w:rPr>
              <w:t>+525E</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+8% = 2,625% + 40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+ 0,24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shd w:val="clear" w:color="auto" w:fill="FBD4B4" w:themeFill="accent6" w:themeFillTint="66"/>
          </w:tcPr>
          <w:p w:rsidR="00C06C20" w:rsidRDefault="00C06C20" w:rsidP="000C5710">
            <w:pPr>
              <w:rPr>
                <w:rFonts w:ascii="Calibri" w:hAnsi="Calibri"/>
                <w:sz w:val="22"/>
                <w:szCs w:val="22"/>
                <w:lang w:val="sk-SK"/>
              </w:rPr>
            </w:pPr>
            <w:r>
              <w:rPr>
                <w:rFonts w:ascii="Calibri" w:hAnsi="Calibri"/>
                <w:sz w:val="22"/>
                <w:szCs w:val="22"/>
                <w:lang w:val="sk-SK"/>
              </w:rPr>
              <w:t>102-..(104)</w:t>
            </w: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+9% = 2,625% + 45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+ 0,27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shd w:val="clear" w:color="auto" w:fill="FFFFFF" w:themeFill="background1"/>
          </w:tcPr>
          <w:p w:rsidR="00C06C20" w:rsidRDefault="00C06C20" w:rsidP="000C5710">
            <w:pPr>
              <w:rPr>
                <w:rFonts w:ascii="Calibri" w:hAnsi="Calibri"/>
                <w:sz w:val="22"/>
                <w:szCs w:val="22"/>
                <w:lang w:val="sk-SK"/>
              </w:rPr>
            </w:pPr>
          </w:p>
        </w:tc>
        <w:tc>
          <w:tcPr>
            <w:tcW w:w="1418" w:type="dxa"/>
          </w:tcPr>
          <w:p w:rsidR="00C06C20" w:rsidRDefault="00C06C20" w:rsidP="000C5710">
            <w:pPr>
              <w:rPr>
                <w:rFonts w:ascii="Calibri" w:hAnsi="Calibri"/>
                <w:sz w:val="22"/>
                <w:szCs w:val="22"/>
                <w:lang w:val="sk-SK"/>
              </w:rPr>
            </w:pPr>
          </w:p>
        </w:tc>
      </w:tr>
      <w:tr w:rsidR="00C06C20" w:rsidTr="000C5710">
        <w:tc>
          <w:tcPr>
            <w:tcW w:w="2838" w:type="dxa"/>
          </w:tcPr>
          <w:p w:rsidR="00C06C20" w:rsidRDefault="00C06C20" w:rsidP="000C5710">
            <w:pPr>
              <w:rPr>
                <w:rFonts w:ascii="Calibri" w:hAnsi="Calibri"/>
                <w:sz w:val="22"/>
                <w:szCs w:val="22"/>
                <w:lang w:val="sk-SK"/>
              </w:rPr>
            </w:pPr>
            <w:r>
              <w:rPr>
                <w:rFonts w:ascii="Calibri" w:hAnsi="Calibri"/>
                <w:sz w:val="22"/>
                <w:szCs w:val="22"/>
                <w:lang w:val="sk-SK"/>
              </w:rPr>
              <w:t>+10% = 2,625% + 50 pac.</w:t>
            </w:r>
          </w:p>
        </w:tc>
        <w:tc>
          <w:tcPr>
            <w:tcW w:w="1275" w:type="dxa"/>
            <w:shd w:val="clear" w:color="auto" w:fill="D9D9D9" w:themeFill="background1" w:themeFillShade="D9"/>
          </w:tcPr>
          <w:p w:rsidR="00C06C20" w:rsidRDefault="00C06C20" w:rsidP="000C5710">
            <w:pPr>
              <w:rPr>
                <w:rFonts w:ascii="Calibri" w:hAnsi="Calibri"/>
                <w:sz w:val="22"/>
                <w:szCs w:val="22"/>
                <w:lang w:val="sk-SK"/>
              </w:rPr>
            </w:pPr>
            <w:r>
              <w:rPr>
                <w:rFonts w:ascii="Calibri" w:hAnsi="Calibri"/>
                <w:sz w:val="22"/>
                <w:szCs w:val="22"/>
                <w:lang w:val="sk-SK"/>
              </w:rPr>
              <w:t>+ 0,30 EUR</w:t>
            </w:r>
          </w:p>
        </w:tc>
        <w:tc>
          <w:tcPr>
            <w:tcW w:w="1275" w:type="dxa"/>
          </w:tcPr>
          <w:p w:rsidR="00C06C20" w:rsidRDefault="00C06C20" w:rsidP="000C5710">
            <w:pPr>
              <w:rPr>
                <w:rFonts w:ascii="Calibri" w:hAnsi="Calibri"/>
                <w:sz w:val="22"/>
                <w:szCs w:val="22"/>
                <w:lang w:val="sk-SK"/>
              </w:rPr>
            </w:pPr>
          </w:p>
        </w:tc>
        <w:tc>
          <w:tcPr>
            <w:tcW w:w="1275" w:type="dxa"/>
          </w:tcPr>
          <w:p w:rsidR="00C06C20" w:rsidRDefault="00C06C20" w:rsidP="000C5710">
            <w:pPr>
              <w:rPr>
                <w:rFonts w:ascii="Calibri" w:hAnsi="Calibri"/>
                <w:sz w:val="22"/>
                <w:szCs w:val="22"/>
                <w:lang w:val="sk-SK"/>
              </w:rPr>
            </w:pPr>
          </w:p>
        </w:tc>
        <w:tc>
          <w:tcPr>
            <w:tcW w:w="1417" w:type="dxa"/>
          </w:tcPr>
          <w:p w:rsidR="00C06C20" w:rsidRDefault="00C06C20" w:rsidP="000C5710">
            <w:pPr>
              <w:rPr>
                <w:rFonts w:ascii="Calibri" w:hAnsi="Calibri"/>
                <w:sz w:val="22"/>
                <w:szCs w:val="22"/>
                <w:lang w:val="sk-SK"/>
              </w:rPr>
            </w:pPr>
          </w:p>
        </w:tc>
        <w:tc>
          <w:tcPr>
            <w:tcW w:w="1418" w:type="dxa"/>
            <w:shd w:val="clear" w:color="auto" w:fill="FBD4B4" w:themeFill="accent6" w:themeFillTint="66"/>
          </w:tcPr>
          <w:p w:rsidR="00C06C20" w:rsidRPr="00DD7F02" w:rsidRDefault="00C06C20" w:rsidP="000C5710">
            <w:pPr>
              <w:rPr>
                <w:rFonts w:ascii="Calibri" w:hAnsi="Calibri"/>
                <w:sz w:val="16"/>
                <w:szCs w:val="16"/>
                <w:lang w:val="sk-SK"/>
              </w:rPr>
            </w:pPr>
            <w:r>
              <w:rPr>
                <w:rFonts w:ascii="Calibri" w:hAnsi="Calibri"/>
                <w:sz w:val="22"/>
                <w:szCs w:val="22"/>
                <w:lang w:val="sk-SK"/>
              </w:rPr>
              <w:t xml:space="preserve">177–..(208) </w:t>
            </w:r>
            <w:r w:rsidRPr="00DD7F02">
              <w:rPr>
                <w:rFonts w:ascii="Calibri" w:hAnsi="Calibri"/>
                <w:b/>
                <w:color w:val="FF0000"/>
                <w:sz w:val="16"/>
                <w:szCs w:val="16"/>
                <w:lang w:val="sk-SK"/>
              </w:rPr>
              <w:t>+1500E</w:t>
            </w:r>
          </w:p>
        </w:tc>
      </w:tr>
      <w:tr w:rsidR="00C06C20" w:rsidTr="000C5710">
        <w:tc>
          <w:tcPr>
            <w:tcW w:w="4113" w:type="dxa"/>
            <w:gridSpan w:val="2"/>
            <w:shd w:val="clear" w:color="auto" w:fill="C6D9F1" w:themeFill="text2" w:themeFillTint="33"/>
          </w:tcPr>
          <w:p w:rsidR="00C06C20" w:rsidRPr="007D161B" w:rsidRDefault="00C06C20" w:rsidP="000C5710">
            <w:pPr>
              <w:rPr>
                <w:rFonts w:ascii="Calibri" w:hAnsi="Calibri"/>
                <w:b/>
                <w:color w:val="7030A0"/>
                <w:sz w:val="22"/>
                <w:szCs w:val="22"/>
                <w:lang w:val="sk-SK"/>
              </w:rPr>
            </w:pPr>
            <w:r w:rsidRPr="007D161B">
              <w:rPr>
                <w:rFonts w:ascii="Calibri" w:hAnsi="Calibri"/>
                <w:b/>
                <w:color w:val="7030A0"/>
                <w:sz w:val="22"/>
                <w:szCs w:val="22"/>
                <w:lang w:val="sk-SK"/>
              </w:rPr>
              <w:t>Systémová efektivita</w:t>
            </w:r>
            <w:r>
              <w:rPr>
                <w:rFonts w:ascii="Calibri" w:hAnsi="Calibri"/>
                <w:b/>
                <w:color w:val="7030A0"/>
                <w:sz w:val="22"/>
                <w:szCs w:val="22"/>
                <w:lang w:val="sk-SK"/>
              </w:rPr>
              <w:t xml:space="preserve">:  </w:t>
            </w:r>
            <w:r w:rsidRPr="007D161B">
              <w:rPr>
                <w:rFonts w:ascii="Calibri" w:hAnsi="Calibri"/>
                <w:b/>
                <w:color w:val="7030A0"/>
                <w:sz w:val="22"/>
                <w:szCs w:val="22"/>
                <w:lang w:val="sk-SK"/>
              </w:rPr>
              <w:t>+/- 0,2% / 100 pac.</w:t>
            </w:r>
          </w:p>
        </w:tc>
        <w:tc>
          <w:tcPr>
            <w:tcW w:w="1275" w:type="dxa"/>
            <w:shd w:val="clear" w:color="auto" w:fill="C6D9F1" w:themeFill="text2" w:themeFillTint="33"/>
          </w:tcPr>
          <w:p w:rsidR="00C06C20" w:rsidRPr="007D161B" w:rsidRDefault="00C06C20" w:rsidP="000C5710">
            <w:r>
              <w:t>-</w:t>
            </w:r>
            <w:r w:rsidRPr="007D161B">
              <w:rPr>
                <w:rFonts w:ascii="Calibri" w:hAnsi="Calibri"/>
                <w:sz w:val="22"/>
                <w:szCs w:val="22"/>
              </w:rPr>
              <w:t>30,</w:t>
            </w:r>
            <w:r>
              <w:rPr>
                <w:rFonts w:ascii="Calibri" w:hAnsi="Calibri"/>
                <w:sz w:val="22"/>
                <w:szCs w:val="22"/>
              </w:rPr>
              <w:t>-</w:t>
            </w:r>
            <w:r w:rsidRPr="007D161B">
              <w:rPr>
                <w:rFonts w:ascii="Calibri" w:hAnsi="Calibri"/>
                <w:sz w:val="22"/>
                <w:szCs w:val="22"/>
              </w:rPr>
              <w:t>EUR</w:t>
            </w:r>
          </w:p>
        </w:tc>
        <w:tc>
          <w:tcPr>
            <w:tcW w:w="1275" w:type="dxa"/>
            <w:shd w:val="clear" w:color="auto" w:fill="C6D9F1" w:themeFill="text2" w:themeFillTint="33"/>
          </w:tcPr>
          <w:p w:rsidR="00C06C20" w:rsidRDefault="00C06C20" w:rsidP="000C5710">
            <w:pPr>
              <w:rPr>
                <w:rFonts w:ascii="Calibri" w:hAnsi="Calibri"/>
                <w:sz w:val="22"/>
                <w:szCs w:val="22"/>
                <w:lang w:val="sk-SK"/>
              </w:rPr>
            </w:pPr>
            <w:r>
              <w:rPr>
                <w:rFonts w:ascii="Calibri" w:hAnsi="Calibri"/>
                <w:sz w:val="22"/>
                <w:szCs w:val="22"/>
                <w:lang w:val="sk-SK"/>
              </w:rPr>
              <w:t>0 EUR</w:t>
            </w:r>
          </w:p>
        </w:tc>
        <w:tc>
          <w:tcPr>
            <w:tcW w:w="1417" w:type="dxa"/>
            <w:shd w:val="clear" w:color="auto" w:fill="C6D9F1" w:themeFill="text2" w:themeFillTint="33"/>
          </w:tcPr>
          <w:p w:rsidR="00C06C20" w:rsidRDefault="00C06C20" w:rsidP="000C5710">
            <w:pPr>
              <w:rPr>
                <w:rFonts w:ascii="Calibri" w:hAnsi="Calibri"/>
                <w:sz w:val="22"/>
                <w:szCs w:val="22"/>
                <w:lang w:val="sk-SK"/>
              </w:rPr>
            </w:pPr>
            <w:r>
              <w:rPr>
                <w:rFonts w:ascii="Calibri" w:hAnsi="Calibri"/>
                <w:sz w:val="22"/>
                <w:szCs w:val="22"/>
                <w:lang w:val="sk-SK"/>
              </w:rPr>
              <w:t>+225,-EUR</w:t>
            </w:r>
          </w:p>
        </w:tc>
        <w:tc>
          <w:tcPr>
            <w:tcW w:w="1418" w:type="dxa"/>
            <w:shd w:val="clear" w:color="auto" w:fill="C6D9F1" w:themeFill="text2" w:themeFillTint="33"/>
          </w:tcPr>
          <w:p w:rsidR="00C06C20" w:rsidRDefault="00C06C20" w:rsidP="000C5710">
            <w:pPr>
              <w:rPr>
                <w:rFonts w:ascii="Calibri" w:hAnsi="Calibri"/>
                <w:sz w:val="22"/>
                <w:szCs w:val="22"/>
                <w:lang w:val="sk-SK"/>
              </w:rPr>
            </w:pPr>
            <w:r>
              <w:rPr>
                <w:rFonts w:ascii="Calibri" w:hAnsi="Calibri"/>
                <w:sz w:val="22"/>
                <w:szCs w:val="22"/>
                <w:lang w:val="sk-SK"/>
              </w:rPr>
              <w:t>+1050,-EUR</w:t>
            </w:r>
          </w:p>
        </w:tc>
      </w:tr>
    </w:tbl>
    <w:p w:rsidR="00C06C20" w:rsidRDefault="00C06C20" w:rsidP="00C06C20">
      <w:pPr>
        <w:rPr>
          <w:rFonts w:ascii="Calibri" w:hAnsi="Calibri"/>
          <w:lang w:val="sk-SK"/>
        </w:rPr>
      </w:pPr>
    </w:p>
    <w:p w:rsidR="00C06C20" w:rsidRDefault="00C06C20" w:rsidP="00C06C20">
      <w:pPr>
        <w:rPr>
          <w:rFonts w:ascii="Calibri" w:hAnsi="Calibri"/>
          <w:b/>
          <w:lang w:val="sk-SK"/>
        </w:rPr>
      </w:pPr>
    </w:p>
    <w:p w:rsidR="00C06C20" w:rsidRPr="006049C4" w:rsidRDefault="00C06C20" w:rsidP="00C06C20">
      <w:pPr>
        <w:rPr>
          <w:rFonts w:ascii="Calibri" w:hAnsi="Calibri"/>
          <w:lang w:val="sk-SK"/>
        </w:rPr>
      </w:pPr>
      <w:r w:rsidRPr="0048525D">
        <w:rPr>
          <w:rFonts w:ascii="Calibri" w:hAnsi="Calibri"/>
          <w:b/>
          <w:lang w:val="sk-SK"/>
        </w:rPr>
        <w:t>7.1.5.</w:t>
      </w:r>
      <w:r>
        <w:rPr>
          <w:rFonts w:ascii="Calibri" w:hAnsi="Calibri"/>
          <w:lang w:val="sk-SK"/>
        </w:rPr>
        <w:t xml:space="preserve"> Výsledný bonus, alebo malus za preventívnu výkonnosť na konkrétnej ambulancii je potom </w:t>
      </w:r>
      <w:r>
        <w:rPr>
          <w:rFonts w:ascii="Calibri" w:hAnsi="Calibri"/>
        </w:rPr>
        <w:t xml:space="preserve"> </w:t>
      </w:r>
      <w:r w:rsidRPr="0048525D">
        <w:rPr>
          <w:rFonts w:ascii="Calibri" w:hAnsi="Calibri"/>
          <w:lang w:val="sk-SK"/>
        </w:rPr>
        <w:t>súčin počtu kapitovaných pacientov</w:t>
      </w:r>
      <w:r>
        <w:rPr>
          <w:rFonts w:ascii="Calibri" w:hAnsi="Calibri"/>
          <w:lang w:val="sk-SK"/>
        </w:rPr>
        <w:t xml:space="preserve"> (PKP), zá</w:t>
      </w:r>
      <w:r w:rsidR="003B6DFE">
        <w:rPr>
          <w:rFonts w:ascii="Calibri" w:hAnsi="Calibri"/>
          <w:lang w:val="sk-SK"/>
        </w:rPr>
        <w:t>kladnej kapitačnej platby (ZKP) a</w:t>
      </w:r>
      <w:r>
        <w:rPr>
          <w:rFonts w:ascii="Calibri" w:hAnsi="Calibri"/>
          <w:lang w:val="sk-SK"/>
        </w:rPr>
        <w:t xml:space="preserve"> hladiny h = 0,01 na </w:t>
      </w:r>
      <w:r w:rsidRPr="0048525D">
        <w:rPr>
          <w:rFonts w:ascii="Calibri" w:hAnsi="Calibri"/>
          <w:lang w:val="sk-SK"/>
        </w:rPr>
        <w:t>príslušn</w:t>
      </w:r>
      <w:r>
        <w:rPr>
          <w:rFonts w:ascii="Calibri" w:hAnsi="Calibri"/>
          <w:lang w:val="sk-SK"/>
        </w:rPr>
        <w:t xml:space="preserve">om výkonnostnom stupni n (spolu </w:t>
      </w:r>
      <w:r w:rsidRPr="0048525D">
        <w:rPr>
          <w:rFonts w:ascii="Calibri" w:hAnsi="Calibri"/>
          <w:lang w:val="sk-SK"/>
        </w:rPr>
        <w:t>„hn“</w:t>
      </w:r>
      <w:r>
        <w:rPr>
          <w:rFonts w:ascii="Calibri" w:hAnsi="Calibri"/>
          <w:lang w:val="sk-SK"/>
        </w:rPr>
        <w:t xml:space="preserve">):  </w:t>
      </w:r>
      <w:r>
        <w:rPr>
          <w:rFonts w:ascii="Calibri" w:hAnsi="Calibri"/>
          <w:b/>
          <w:color w:val="FF0000"/>
          <w:lang w:val="sk-SK"/>
        </w:rPr>
        <w:t>Preventívna výkonnosť =</w:t>
      </w:r>
      <w:r w:rsidRPr="0048525D">
        <w:rPr>
          <w:rFonts w:ascii="Calibri" w:hAnsi="Calibri"/>
          <w:b/>
          <w:color w:val="FF0000"/>
          <w:lang w:val="sk-SK"/>
        </w:rPr>
        <w:t xml:space="preserve"> PKP x </w:t>
      </w:r>
      <w:r>
        <w:rPr>
          <w:rFonts w:ascii="Calibri" w:hAnsi="Calibri"/>
          <w:b/>
          <w:color w:val="FF0000"/>
          <w:lang w:val="sk-SK"/>
        </w:rPr>
        <w:t xml:space="preserve">ZKP x </w:t>
      </w:r>
      <w:r w:rsidRPr="0048525D">
        <w:rPr>
          <w:rFonts w:ascii="Calibri" w:hAnsi="Calibri"/>
          <w:b/>
          <w:color w:val="FF0000"/>
          <w:lang w:val="sk-SK"/>
        </w:rPr>
        <w:t>h</w:t>
      </w:r>
      <w:r>
        <w:rPr>
          <w:rFonts w:ascii="Calibri" w:hAnsi="Calibri"/>
          <w:b/>
          <w:color w:val="FF0000"/>
          <w:lang w:val="sk-SK"/>
        </w:rPr>
        <w:t xml:space="preserve"> x </w:t>
      </w:r>
      <w:r w:rsidRPr="0048525D">
        <w:rPr>
          <w:rFonts w:ascii="Calibri" w:hAnsi="Calibri"/>
          <w:b/>
          <w:color w:val="FF0000"/>
          <w:lang w:val="sk-SK"/>
        </w:rPr>
        <w:t>n</w:t>
      </w:r>
    </w:p>
    <w:p w:rsidR="00C06C20" w:rsidRDefault="00C06C20" w:rsidP="00C06C20">
      <w:pPr>
        <w:pBdr>
          <w:bottom w:val="single" w:sz="6" w:space="1" w:color="auto"/>
        </w:pBdr>
        <w:rPr>
          <w:rFonts w:ascii="Calibri" w:hAnsi="Calibri"/>
          <w:sz w:val="22"/>
          <w:szCs w:val="22"/>
          <w:lang w:val="sk-SK"/>
        </w:rPr>
      </w:pPr>
    </w:p>
    <w:p w:rsidR="00C06C20" w:rsidRDefault="00C06C20" w:rsidP="00C06C20">
      <w:pPr>
        <w:pBdr>
          <w:bottom w:val="single" w:sz="6" w:space="1" w:color="auto"/>
        </w:pBdr>
        <w:rPr>
          <w:rFonts w:ascii="Calibri" w:hAnsi="Calibri"/>
          <w:sz w:val="22"/>
          <w:szCs w:val="22"/>
          <w:lang w:val="sk-SK"/>
        </w:rPr>
      </w:pPr>
    </w:p>
    <w:p w:rsidR="00C06C20" w:rsidRDefault="00C06C20" w:rsidP="00C06C20">
      <w:pPr>
        <w:pBdr>
          <w:bottom w:val="single" w:sz="6" w:space="1" w:color="auto"/>
        </w:pBdr>
        <w:rPr>
          <w:rFonts w:ascii="Calibri" w:hAnsi="Calibri"/>
          <w:sz w:val="22"/>
          <w:szCs w:val="22"/>
          <w:lang w:val="sk-SK"/>
        </w:rPr>
      </w:pPr>
    </w:p>
    <w:p w:rsidR="00C06C20" w:rsidRPr="00BF1005" w:rsidRDefault="003B6DFE" w:rsidP="00C06C20">
      <w:pPr>
        <w:pBdr>
          <w:bottom w:val="single" w:sz="6" w:space="1" w:color="auto"/>
        </w:pBdr>
        <w:rPr>
          <w:rFonts w:ascii="Calibri" w:hAnsi="Calibri"/>
          <w:color w:val="FF0000"/>
          <w:sz w:val="22"/>
          <w:szCs w:val="22"/>
          <w:lang w:val="sk-SK"/>
        </w:rPr>
      </w:pPr>
      <w:r w:rsidRPr="00BF1005">
        <w:rPr>
          <w:rFonts w:ascii="Calibri" w:hAnsi="Calibri"/>
          <w:color w:val="FF0000"/>
          <w:sz w:val="22"/>
          <w:szCs w:val="22"/>
          <w:lang w:val="sk-SK"/>
        </w:rPr>
        <w:t>P</w:t>
      </w:r>
      <w:r w:rsidR="00C06C20" w:rsidRPr="00BF1005">
        <w:rPr>
          <w:rFonts w:ascii="Calibri" w:hAnsi="Calibri"/>
          <w:color w:val="FF0000"/>
          <w:sz w:val="22"/>
          <w:szCs w:val="22"/>
          <w:lang w:val="sk-SK"/>
        </w:rPr>
        <w:t>oznámky</w:t>
      </w:r>
      <w:r w:rsidRPr="00BF1005">
        <w:rPr>
          <w:rFonts w:ascii="Calibri" w:hAnsi="Calibri"/>
          <w:color w:val="FF0000"/>
          <w:sz w:val="22"/>
          <w:szCs w:val="22"/>
          <w:lang w:val="sk-SK"/>
        </w:rPr>
        <w:t xml:space="preserve"> + výklad pojmov k preventívnej výkonnosti</w:t>
      </w:r>
      <w:r w:rsidR="00C06C20" w:rsidRPr="00BF1005">
        <w:rPr>
          <w:rFonts w:ascii="Calibri" w:hAnsi="Calibri"/>
          <w:color w:val="FF0000"/>
          <w:sz w:val="22"/>
          <w:szCs w:val="22"/>
          <w:lang w:val="sk-SK"/>
        </w:rPr>
        <w:t>:</w:t>
      </w:r>
    </w:p>
    <w:p w:rsidR="00C06C20" w:rsidRDefault="00C06C20" w:rsidP="00C06C20">
      <w:pPr>
        <w:pBdr>
          <w:bottom w:val="single" w:sz="6" w:space="1" w:color="auto"/>
        </w:pBdr>
        <w:rPr>
          <w:rFonts w:ascii="Calibri" w:hAnsi="Calibri"/>
          <w:sz w:val="22"/>
          <w:szCs w:val="22"/>
          <w:lang w:val="sk-SK"/>
        </w:rPr>
      </w:pPr>
    </w:p>
    <w:p w:rsidR="00C06C20" w:rsidRDefault="00C06C20" w:rsidP="00C06C20">
      <w:pPr>
        <w:rPr>
          <w:rFonts w:ascii="Calibri" w:hAnsi="Calibri"/>
          <w:sz w:val="22"/>
          <w:szCs w:val="22"/>
          <w:lang w:val="sk-SK"/>
        </w:rPr>
      </w:pPr>
    </w:p>
    <w:p w:rsidR="00C06C20" w:rsidRDefault="00C06C20" w:rsidP="00C06C20">
      <w:pPr>
        <w:rPr>
          <w:rFonts w:ascii="Calibri" w:hAnsi="Calibri"/>
          <w:sz w:val="22"/>
          <w:szCs w:val="22"/>
          <w:lang w:val="sk-SK"/>
        </w:rPr>
      </w:pPr>
      <w:r w:rsidRPr="00493FBA">
        <w:rPr>
          <w:rFonts w:ascii="Calibri" w:hAnsi="Calibri"/>
          <w:sz w:val="22"/>
          <w:szCs w:val="22"/>
          <w:lang w:val="sk-SK"/>
        </w:rPr>
        <w:t xml:space="preserve">* </w:t>
      </w:r>
      <w:r w:rsidRPr="007A4D14">
        <w:rPr>
          <w:rFonts w:ascii="Calibri" w:hAnsi="Calibri"/>
          <w:b/>
          <w:sz w:val="22"/>
          <w:szCs w:val="22"/>
          <w:lang w:val="sk-SK"/>
        </w:rPr>
        <w:t>ide o konsenzus organizácií zastupujúcich VLD v SR (Bystrá 12/2018) prijatý v súlade s publikovanými dátami nadnárodných autorít (správa WB 2018) a IZP MZSR</w:t>
      </w:r>
      <w:r w:rsidRPr="00493FBA">
        <w:rPr>
          <w:rFonts w:ascii="Calibri" w:hAnsi="Calibri"/>
          <w:sz w:val="22"/>
          <w:szCs w:val="22"/>
          <w:lang w:val="sk-SK"/>
        </w:rPr>
        <w:t xml:space="preserve"> </w:t>
      </w:r>
    </w:p>
    <w:p w:rsidR="00C06C20" w:rsidRDefault="00C06C20" w:rsidP="00C06C20">
      <w:pPr>
        <w:rPr>
          <w:rFonts w:ascii="Calibri" w:hAnsi="Calibri"/>
          <w:sz w:val="22"/>
          <w:szCs w:val="22"/>
          <w:lang w:val="sk-SK"/>
        </w:rPr>
      </w:pPr>
    </w:p>
    <w:p w:rsidR="00C06C20" w:rsidRPr="00493FBA" w:rsidRDefault="00C06C20" w:rsidP="00C06C20">
      <w:pPr>
        <w:pStyle w:val="Odsekzoznamu"/>
        <w:numPr>
          <w:ilvl w:val="0"/>
          <w:numId w:val="26"/>
        </w:numPr>
        <w:spacing w:line="240" w:lineRule="auto"/>
      </w:pPr>
      <w:r>
        <w:t xml:space="preserve">optimálny počet pacientov na 1 LM VLD v SR musí byť natvrdo definovaný v zákone, nakoľko sa tým určuje jedna z rozhodujúcich premenných pre koncepciu všeobecného lekárstva na Slovensku, kompetencie odboru a ich reálna vykonateľnosť v kontexte systémového postavenia odboru v systéme ZS v SR </w:t>
      </w:r>
    </w:p>
    <w:p w:rsidR="00C06C20" w:rsidRPr="00493FBA" w:rsidRDefault="00C06C20" w:rsidP="00C06C20">
      <w:pPr>
        <w:rPr>
          <w:rFonts w:ascii="Calibri" w:hAnsi="Calibri"/>
          <w:sz w:val="22"/>
          <w:szCs w:val="22"/>
          <w:lang w:val="sk-SK"/>
        </w:rPr>
      </w:pPr>
    </w:p>
    <w:p w:rsidR="00C06C20" w:rsidRDefault="00C06C20" w:rsidP="00C06C20">
      <w:pPr>
        <w:rPr>
          <w:rFonts w:ascii="Calibri" w:hAnsi="Calibri"/>
          <w:sz w:val="22"/>
          <w:szCs w:val="22"/>
          <w:lang w:val="sk-SK"/>
        </w:rPr>
      </w:pPr>
      <w:r w:rsidRPr="00493FBA">
        <w:rPr>
          <w:rFonts w:ascii="Calibri" w:hAnsi="Calibri"/>
          <w:sz w:val="22"/>
          <w:szCs w:val="22"/>
          <w:lang w:val="sk-SK"/>
        </w:rPr>
        <w:t>**</w:t>
      </w:r>
      <w:r w:rsidRPr="007A4D14">
        <w:rPr>
          <w:rFonts w:ascii="Calibri" w:hAnsi="Calibri"/>
          <w:b/>
          <w:sz w:val="22"/>
          <w:szCs w:val="22"/>
          <w:lang w:val="sk-SK"/>
        </w:rPr>
        <w:t>podľa arbitrárne určenej optimálnej výkonnosti</w:t>
      </w:r>
      <w:r w:rsidRPr="00493FBA">
        <w:rPr>
          <w:rFonts w:ascii="Calibri" w:hAnsi="Calibri"/>
          <w:sz w:val="22"/>
          <w:szCs w:val="22"/>
          <w:lang w:val="sk-SK"/>
        </w:rPr>
        <w:t xml:space="preserve"> 80% = 0,8 má mať 8 z 10 pacientov na Slovensku riadne a periodicky vykonanú preventívnu prehliadku v záujme znižovania počtu odvrátiteľných úmrtí, výskytu kardiovaskulárnych komplikácií a diabetu, obezity, ako aj ďalších rozhodujúcich epidemiologicky závažných premenných vo vzťahu k celkovému zdravotnému stavu obyvateľstva</w:t>
      </w:r>
    </w:p>
    <w:p w:rsidR="00C06C20" w:rsidRDefault="00C06C20" w:rsidP="00C06C20">
      <w:pPr>
        <w:rPr>
          <w:rFonts w:ascii="Calibri" w:hAnsi="Calibri"/>
          <w:sz w:val="22"/>
          <w:szCs w:val="22"/>
          <w:lang w:val="sk-SK"/>
        </w:rPr>
      </w:pPr>
    </w:p>
    <w:p w:rsidR="00C06C20" w:rsidRDefault="00C06C20" w:rsidP="00C06C20">
      <w:pPr>
        <w:pStyle w:val="Odsekzoznamu"/>
        <w:numPr>
          <w:ilvl w:val="0"/>
          <w:numId w:val="26"/>
        </w:numPr>
        <w:spacing w:line="240" w:lineRule="auto"/>
      </w:pPr>
      <w:r>
        <w:t>optimálna výkonnosť musí byť natvrdo definovaná v zákone, nakoľko politický konsenzus o určení konkrétneho čísla má vychádzať zo štatitisticky a matematicky odôvodnených argumentov týkajúcich sa pravdepodobnosti záujmu obyvateľstva o zdravie, zdravý životný štýl,  zdravotnú výchovu v celkovom socio-ekonomicko-kultúrnom kontexte v SR</w:t>
      </w:r>
    </w:p>
    <w:p w:rsidR="00C06C20" w:rsidRPr="007A4D14" w:rsidRDefault="00C06C20" w:rsidP="00C06C20">
      <w:pPr>
        <w:pStyle w:val="Odsekzoznamu"/>
        <w:spacing w:line="240" w:lineRule="auto"/>
        <w:ind w:left="1080"/>
      </w:pPr>
    </w:p>
    <w:p w:rsidR="00C06C20" w:rsidRPr="00493FBA" w:rsidRDefault="00C06C20" w:rsidP="00C06C20">
      <w:pPr>
        <w:rPr>
          <w:rFonts w:ascii="Calibri" w:hAnsi="Calibri"/>
          <w:sz w:val="22"/>
          <w:szCs w:val="22"/>
          <w:lang w:val="sk-SK"/>
        </w:rPr>
      </w:pPr>
      <w:r w:rsidRPr="00493FBA">
        <w:rPr>
          <w:rFonts w:ascii="Calibri" w:hAnsi="Calibri"/>
          <w:sz w:val="22"/>
          <w:szCs w:val="22"/>
          <w:lang w:val="sk-SK"/>
        </w:rPr>
        <w:t xml:space="preserve">***z charakteristiky premennej </w:t>
      </w:r>
      <w:r>
        <w:rPr>
          <w:rFonts w:ascii="Calibri" w:hAnsi="Calibri"/>
          <w:sz w:val="22"/>
          <w:szCs w:val="22"/>
          <w:lang w:val="sk-SK"/>
        </w:rPr>
        <w:t>7.1.3</w:t>
      </w:r>
      <w:r w:rsidRPr="00493FBA">
        <w:rPr>
          <w:rFonts w:ascii="Calibri" w:hAnsi="Calibri"/>
          <w:sz w:val="22"/>
          <w:szCs w:val="22"/>
          <w:lang w:val="sk-SK"/>
        </w:rPr>
        <w:t xml:space="preserve">  „</w:t>
      </w:r>
      <w:r w:rsidRPr="00493FBA">
        <w:rPr>
          <w:rFonts w:ascii="Calibri" w:hAnsi="Calibri"/>
          <w:b/>
          <w:sz w:val="22"/>
          <w:szCs w:val="22"/>
          <w:lang w:val="sk-SK"/>
        </w:rPr>
        <w:t xml:space="preserve">prepočítaná optimálna preventívna výkonnosť /mesiac“ </w:t>
      </w:r>
      <w:r>
        <w:rPr>
          <w:rFonts w:ascii="Calibri" w:hAnsi="Calibri"/>
          <w:b/>
          <w:sz w:val="22"/>
          <w:szCs w:val="22"/>
          <w:lang w:val="sk-SK"/>
        </w:rPr>
        <w:t xml:space="preserve">(POPVM) </w:t>
      </w:r>
      <w:r w:rsidRPr="00493FBA">
        <w:rPr>
          <w:rFonts w:ascii="Calibri" w:hAnsi="Calibri"/>
          <w:sz w:val="22"/>
          <w:szCs w:val="22"/>
          <w:lang w:val="sk-SK"/>
        </w:rPr>
        <w:t>vyplýva, že pre jej určenie sú rozhodujúce nasledujúce premenné:</w:t>
      </w:r>
    </w:p>
    <w:p w:rsidR="00C06C20" w:rsidRDefault="00C06C20" w:rsidP="00C06C20">
      <w:pPr>
        <w:rPr>
          <w:rFonts w:ascii="Calibri" w:hAnsi="Calibri"/>
          <w:sz w:val="18"/>
          <w:szCs w:val="18"/>
          <w:lang w:val="sk-SK"/>
        </w:rPr>
      </w:pPr>
    </w:p>
    <w:p w:rsidR="00C06C20" w:rsidRPr="006B65E7" w:rsidRDefault="00C06C20" w:rsidP="00C06C20">
      <w:pPr>
        <w:pStyle w:val="Odsekzoznamu"/>
        <w:numPr>
          <w:ilvl w:val="0"/>
          <w:numId w:val="26"/>
        </w:numPr>
        <w:spacing w:line="240" w:lineRule="auto"/>
        <w:ind w:left="1077" w:right="-6" w:hanging="357"/>
      </w:pPr>
      <w:r>
        <w:t>arbitrárne stanovený</w:t>
      </w:r>
      <w:r w:rsidRPr="006B65E7">
        <w:t xml:space="preserve"> optimáln</w:t>
      </w:r>
      <w:r>
        <w:t>y</w:t>
      </w:r>
      <w:r w:rsidRPr="006B65E7">
        <w:t xml:space="preserve"> poč</w:t>
      </w:r>
      <w:r>
        <w:t>et</w:t>
      </w:r>
      <w:r w:rsidRPr="006B65E7">
        <w:t xml:space="preserve"> pacientov na 1LM VLD </w:t>
      </w:r>
      <w:r w:rsidRPr="000B4DF7">
        <w:rPr>
          <w:b/>
        </w:rPr>
        <w:t>(1500) *</w:t>
      </w:r>
    </w:p>
    <w:p w:rsidR="00C06C20" w:rsidRDefault="00C06C20" w:rsidP="00C06C20">
      <w:pPr>
        <w:pStyle w:val="Odsekzoznamu"/>
        <w:numPr>
          <w:ilvl w:val="0"/>
          <w:numId w:val="26"/>
        </w:numPr>
        <w:spacing w:line="240" w:lineRule="auto"/>
        <w:ind w:left="1077" w:right="-6" w:hanging="357"/>
      </w:pPr>
      <w:r w:rsidRPr="006B65E7">
        <w:t xml:space="preserve">arbitrárne </w:t>
      </w:r>
      <w:r>
        <w:t>stanovený</w:t>
      </w:r>
      <w:r w:rsidRPr="006B65E7">
        <w:t xml:space="preserve"> optimáln</w:t>
      </w:r>
      <w:r>
        <w:t>y</w:t>
      </w:r>
      <w:r w:rsidRPr="006B65E7">
        <w:t xml:space="preserve"> </w:t>
      </w:r>
      <w:r>
        <w:t>výkon</w:t>
      </w:r>
      <w:r w:rsidRPr="006B65E7">
        <w:t xml:space="preserve"> preventívnych prehliadok </w:t>
      </w:r>
      <w:r w:rsidRPr="006B65E7">
        <w:rPr>
          <w:b/>
        </w:rPr>
        <w:t>(0,8)</w:t>
      </w:r>
      <w:r>
        <w:rPr>
          <w:b/>
        </w:rPr>
        <w:t xml:space="preserve"> </w:t>
      </w:r>
      <w:r>
        <w:t>**</w:t>
      </w:r>
      <w:r w:rsidRPr="006B65E7">
        <w:t xml:space="preserve">  </w:t>
      </w:r>
    </w:p>
    <w:p w:rsidR="00C06C20" w:rsidRDefault="00C06C20" w:rsidP="00C06C20">
      <w:pPr>
        <w:pStyle w:val="Odsekzoznamu"/>
        <w:numPr>
          <w:ilvl w:val="0"/>
          <w:numId w:val="26"/>
        </w:numPr>
        <w:spacing w:line="240" w:lineRule="auto"/>
        <w:ind w:left="1077" w:right="-6" w:hanging="357"/>
      </w:pPr>
      <w:r>
        <w:t xml:space="preserve">RPLM = </w:t>
      </w:r>
      <w:r w:rsidRPr="009B3CBC">
        <w:t>r</w:t>
      </w:r>
      <w:r>
        <w:t>eálny priemer počtu pacientov /1LM VLD v sledovanom období (určené metodickým sledovaním a vyhodnocovaním podľa zákona – prípadne s odkazom zákona na podzákonnú normu)</w:t>
      </w:r>
    </w:p>
    <w:p w:rsidR="00C06C20" w:rsidRDefault="00C06C20" w:rsidP="00C06C20">
      <w:pPr>
        <w:ind w:right="-6"/>
      </w:pPr>
    </w:p>
    <w:p w:rsidR="00C06C20" w:rsidRPr="002D2C33" w:rsidRDefault="00C06C20" w:rsidP="00C06C20">
      <w:pPr>
        <w:ind w:right="-6"/>
        <w:rPr>
          <w:rFonts w:ascii="Calibri" w:hAnsi="Calibri"/>
          <w:sz w:val="22"/>
          <w:szCs w:val="22"/>
          <w:lang w:val="sk-SK"/>
        </w:rPr>
      </w:pPr>
      <w:r w:rsidRPr="002D2C33">
        <w:rPr>
          <w:rFonts w:ascii="Calibri" w:hAnsi="Calibri"/>
          <w:sz w:val="22"/>
          <w:szCs w:val="22"/>
          <w:lang w:val="sk-SK"/>
        </w:rPr>
        <w:t>****z hľadiska zdravotnej poisťovne</w:t>
      </w:r>
      <w:r>
        <w:rPr>
          <w:rFonts w:ascii="Calibri" w:hAnsi="Calibri"/>
          <w:sz w:val="22"/>
          <w:szCs w:val="22"/>
          <w:lang w:val="sk-SK"/>
        </w:rPr>
        <w:t xml:space="preserve"> budú celkové náklady na zdravotnú starostlivosť vyplývajúce z aplikácie výkonnostného parametra „preventívna výkonnosť“ závislé na ochote poskytovateľov ZS pracovať v prospech svojich pacientov a v súčte pracovitých a lenivých poskytovateľov môže mať tento parameter na celkové náklady poisťovne neutrálny vplyv</w:t>
      </w:r>
    </w:p>
    <w:p w:rsidR="00706821" w:rsidRDefault="00706821" w:rsidP="00C06C20">
      <w:pPr>
        <w:contextualSpacing/>
        <w:rPr>
          <w:rFonts w:ascii="Calibri" w:hAnsi="Calibri"/>
          <w:b/>
          <w:color w:val="FF0000"/>
          <w:sz w:val="22"/>
          <w:szCs w:val="22"/>
          <w:lang w:val="sk-SK"/>
        </w:rPr>
      </w:pPr>
    </w:p>
    <w:p w:rsidR="00706821" w:rsidRDefault="00706821" w:rsidP="00C06C20">
      <w:pPr>
        <w:contextualSpacing/>
        <w:rPr>
          <w:rFonts w:ascii="Calibri" w:hAnsi="Calibri"/>
          <w:b/>
          <w:color w:val="FF0000"/>
          <w:sz w:val="22"/>
          <w:szCs w:val="22"/>
          <w:lang w:val="sk-SK"/>
        </w:rPr>
      </w:pPr>
    </w:p>
    <w:p w:rsidR="00C06C20" w:rsidRPr="005430FD" w:rsidRDefault="00C06C20" w:rsidP="00C06C20">
      <w:pPr>
        <w:contextualSpacing/>
        <w:rPr>
          <w:rFonts w:ascii="Arial" w:hAnsi="Arial" w:cs="Arial"/>
          <w:b/>
          <w:color w:val="FF0000"/>
          <w:sz w:val="22"/>
          <w:szCs w:val="22"/>
          <w:lang w:val="sk-SK"/>
        </w:rPr>
      </w:pPr>
      <w:r w:rsidRPr="005430FD">
        <w:rPr>
          <w:rFonts w:ascii="Arial" w:hAnsi="Arial" w:cs="Arial"/>
          <w:b/>
          <w:color w:val="FF0000"/>
          <w:sz w:val="22"/>
          <w:szCs w:val="22"/>
          <w:lang w:val="sk-SK"/>
        </w:rPr>
        <w:t>7.2. starostlivosť o chronické ochorenia = dispenzárna výkonnosť ambulancie</w:t>
      </w:r>
    </w:p>
    <w:p w:rsidR="00C06C20" w:rsidRDefault="00C06C20" w:rsidP="00C06C20">
      <w:pPr>
        <w:contextualSpacing/>
        <w:rPr>
          <w:rFonts w:ascii="Calibri" w:hAnsi="Calibri"/>
          <w:sz w:val="22"/>
          <w:szCs w:val="22"/>
          <w:lang w:val="sk-SK"/>
        </w:rPr>
      </w:pPr>
    </w:p>
    <w:p w:rsidR="00C06C20" w:rsidRDefault="00C06C20" w:rsidP="00C06C20">
      <w:pPr>
        <w:ind w:right="-6"/>
        <w:contextualSpacing/>
        <w:rPr>
          <w:rFonts w:ascii="Calibri" w:hAnsi="Calibri"/>
          <w:sz w:val="22"/>
          <w:szCs w:val="22"/>
          <w:lang w:val="sk-SK"/>
        </w:rPr>
      </w:pPr>
      <w:r>
        <w:rPr>
          <w:rFonts w:ascii="Calibri" w:hAnsi="Calibri"/>
          <w:sz w:val="22"/>
          <w:szCs w:val="22"/>
          <w:lang w:val="sk-SK"/>
        </w:rPr>
        <w:t>sa n</w:t>
      </w:r>
      <w:r w:rsidRPr="009B3CBC">
        <w:rPr>
          <w:rFonts w:ascii="Calibri" w:hAnsi="Calibri"/>
          <w:sz w:val="22"/>
          <w:szCs w:val="22"/>
          <w:lang w:val="sk-SK"/>
        </w:rPr>
        <w:t xml:space="preserve">avrhuje </w:t>
      </w:r>
      <w:r>
        <w:rPr>
          <w:rFonts w:ascii="Calibri" w:hAnsi="Calibri"/>
          <w:sz w:val="22"/>
          <w:szCs w:val="22"/>
          <w:lang w:val="sk-SK"/>
        </w:rPr>
        <w:t xml:space="preserve">obdobne ako parameter 7.1. (preventívna výkonnosť), a to ako pomer uskutočnených výkonov poskytovateľa </w:t>
      </w:r>
      <w:r w:rsidRPr="00AE46E7">
        <w:rPr>
          <w:rFonts w:ascii="Calibri" w:hAnsi="Calibri"/>
          <w:sz w:val="22"/>
          <w:szCs w:val="22"/>
          <w:lang w:val="sk-SK"/>
        </w:rPr>
        <w:t>v starostlivosti o chronických pacientov</w:t>
      </w:r>
      <w:r>
        <w:rPr>
          <w:rFonts w:ascii="Calibri" w:hAnsi="Calibri"/>
          <w:sz w:val="22"/>
          <w:szCs w:val="22"/>
          <w:lang w:val="sk-SK"/>
        </w:rPr>
        <w:t xml:space="preserve"> podľa zoznamu výkonov a </w:t>
      </w:r>
      <w:r w:rsidRPr="00AE46E7">
        <w:rPr>
          <w:rFonts w:ascii="Calibri" w:hAnsi="Calibri"/>
          <w:sz w:val="22"/>
          <w:szCs w:val="22"/>
          <w:lang w:val="sk-SK"/>
        </w:rPr>
        <w:t>v súlade s požiadavkami  ŠTDP pr</w:t>
      </w:r>
      <w:r>
        <w:rPr>
          <w:rFonts w:ascii="Calibri" w:hAnsi="Calibri"/>
          <w:sz w:val="22"/>
          <w:szCs w:val="22"/>
          <w:lang w:val="sk-SK"/>
        </w:rPr>
        <w:t>e príslušné chronické ochorenia*</w:t>
      </w:r>
      <w:r w:rsidRPr="009B3CBC">
        <w:rPr>
          <w:rFonts w:ascii="Calibri" w:hAnsi="Calibri"/>
          <w:sz w:val="22"/>
          <w:szCs w:val="22"/>
          <w:lang w:val="sk-SK"/>
        </w:rPr>
        <w:t xml:space="preserve"> a</w:t>
      </w:r>
      <w:r>
        <w:rPr>
          <w:rFonts w:ascii="Calibri" w:hAnsi="Calibri"/>
          <w:sz w:val="22"/>
          <w:szCs w:val="22"/>
          <w:lang w:val="sk-SK"/>
        </w:rPr>
        <w:t> </w:t>
      </w:r>
      <w:r w:rsidRPr="009B3CBC">
        <w:rPr>
          <w:rFonts w:ascii="Calibri" w:hAnsi="Calibri"/>
          <w:sz w:val="22"/>
          <w:szCs w:val="22"/>
          <w:lang w:val="sk-SK"/>
        </w:rPr>
        <w:t>celkové</w:t>
      </w:r>
      <w:r>
        <w:rPr>
          <w:rFonts w:ascii="Calibri" w:hAnsi="Calibri"/>
          <w:sz w:val="22"/>
          <w:szCs w:val="22"/>
          <w:lang w:val="sk-SK"/>
        </w:rPr>
        <w:t xml:space="preserve">ho predpokladaného výskytu dotknutých chronických ochorení  v súbore  </w:t>
      </w:r>
      <w:r w:rsidRPr="009B3CBC">
        <w:rPr>
          <w:rFonts w:ascii="Calibri" w:hAnsi="Calibri"/>
          <w:sz w:val="22"/>
          <w:szCs w:val="22"/>
          <w:lang w:val="sk-SK"/>
        </w:rPr>
        <w:t>kapitovaných pacientov</w:t>
      </w:r>
      <w:r>
        <w:rPr>
          <w:rFonts w:ascii="Calibri" w:hAnsi="Calibri"/>
          <w:sz w:val="22"/>
          <w:szCs w:val="22"/>
          <w:lang w:val="sk-SK"/>
        </w:rPr>
        <w:t xml:space="preserve"> príslušnej ambulancie.</w:t>
      </w:r>
    </w:p>
    <w:p w:rsidR="00C06C20" w:rsidRPr="009B3CBC" w:rsidRDefault="00C06C20" w:rsidP="00C06C20">
      <w:pPr>
        <w:ind w:right="-6"/>
        <w:contextualSpacing/>
        <w:rPr>
          <w:rFonts w:ascii="Calibri" w:hAnsi="Calibri"/>
          <w:b/>
          <w:color w:val="FF0000"/>
          <w:sz w:val="22"/>
          <w:szCs w:val="22"/>
          <w:lang w:val="sk-SK"/>
        </w:rPr>
      </w:pPr>
      <w:r>
        <w:rPr>
          <w:rFonts w:ascii="Calibri" w:hAnsi="Calibri"/>
          <w:sz w:val="22"/>
          <w:szCs w:val="22"/>
          <w:lang w:val="sk-SK"/>
        </w:rPr>
        <w:t xml:space="preserve"> </w:t>
      </w:r>
    </w:p>
    <w:p w:rsidR="00C06C20" w:rsidRDefault="00C06C20" w:rsidP="00C06C20">
      <w:pPr>
        <w:spacing w:after="200"/>
        <w:ind w:right="-289"/>
        <w:contextualSpacing/>
        <w:rPr>
          <w:rFonts w:ascii="Calibri" w:hAnsi="Calibri"/>
          <w:sz w:val="22"/>
          <w:szCs w:val="22"/>
          <w:lang w:val="sk-SK"/>
        </w:rPr>
      </w:pPr>
      <w:r>
        <w:rPr>
          <w:rFonts w:ascii="Calibri" w:hAnsi="Calibri"/>
          <w:b/>
          <w:bCs/>
          <w:sz w:val="22"/>
          <w:szCs w:val="22"/>
          <w:lang w:val="sk-SK"/>
        </w:rPr>
        <w:t xml:space="preserve">7.2.1. dispenzárny </w:t>
      </w:r>
      <w:r w:rsidRPr="00AE46E7">
        <w:rPr>
          <w:rFonts w:ascii="Calibri" w:hAnsi="Calibri"/>
          <w:b/>
          <w:bCs/>
          <w:sz w:val="22"/>
          <w:szCs w:val="22"/>
          <w:lang w:val="sk-SK"/>
        </w:rPr>
        <w:t xml:space="preserve">výkon ambulancie </w:t>
      </w:r>
      <w:r w:rsidRPr="00AE46E7">
        <w:rPr>
          <w:rFonts w:ascii="Calibri" w:hAnsi="Calibri"/>
          <w:sz w:val="22"/>
          <w:szCs w:val="22"/>
          <w:lang w:val="sk-SK"/>
        </w:rPr>
        <w:t xml:space="preserve">sa určí ako pomer sumy </w:t>
      </w:r>
      <w:r>
        <w:rPr>
          <w:rFonts w:ascii="Calibri" w:hAnsi="Calibri"/>
          <w:sz w:val="22"/>
          <w:szCs w:val="22"/>
          <w:lang w:val="sk-SK"/>
        </w:rPr>
        <w:t xml:space="preserve">príslušných </w:t>
      </w:r>
      <w:r w:rsidRPr="00AE46E7">
        <w:rPr>
          <w:rFonts w:ascii="Calibri" w:hAnsi="Calibri"/>
          <w:sz w:val="22"/>
          <w:szCs w:val="22"/>
          <w:lang w:val="sk-SK"/>
        </w:rPr>
        <w:t>výkonov</w:t>
      </w:r>
      <w:r>
        <w:rPr>
          <w:rFonts w:ascii="Calibri" w:hAnsi="Calibri"/>
          <w:sz w:val="22"/>
          <w:szCs w:val="22"/>
          <w:lang w:val="sk-SK"/>
        </w:rPr>
        <w:t>* realizovaných v zúčtovacom období 1 (jeden) kalendárny mesiac  a predpokladaného celkovému výskytu (prevalencii) dotknutých chronických ochorení  na danej (konkrétnej) ambulancii korigovaného na predpoklad medziodborovej ambulantnej starostlivosti o dané chronické ochorenie podľa ŠDTP</w:t>
      </w:r>
    </w:p>
    <w:p w:rsidR="00C06C20" w:rsidRDefault="00C06C20" w:rsidP="00C06C20">
      <w:pPr>
        <w:spacing w:after="200"/>
        <w:ind w:right="-289"/>
        <w:contextualSpacing/>
        <w:rPr>
          <w:rFonts w:ascii="Calibri" w:hAnsi="Calibri"/>
          <w:b/>
          <w:bCs/>
          <w:sz w:val="22"/>
          <w:szCs w:val="22"/>
          <w:lang w:val="sk-SK"/>
        </w:rPr>
      </w:pPr>
    </w:p>
    <w:p w:rsidR="00C06C20" w:rsidRDefault="00C06C20" w:rsidP="00C06C20">
      <w:pPr>
        <w:spacing w:after="200"/>
        <w:ind w:right="-289"/>
        <w:contextualSpacing/>
        <w:rPr>
          <w:rFonts w:ascii="Calibri" w:hAnsi="Calibri"/>
          <w:sz w:val="22"/>
          <w:szCs w:val="22"/>
          <w:lang w:val="sk-SK"/>
        </w:rPr>
      </w:pPr>
      <w:r>
        <w:rPr>
          <w:rFonts w:ascii="Calibri" w:hAnsi="Calibri"/>
          <w:b/>
          <w:bCs/>
          <w:sz w:val="22"/>
          <w:szCs w:val="22"/>
          <w:lang w:val="sk-SK"/>
        </w:rPr>
        <w:t xml:space="preserve">7.2.2. </w:t>
      </w:r>
      <w:r w:rsidRPr="00BE751D">
        <w:rPr>
          <w:rFonts w:ascii="Calibri" w:hAnsi="Calibri"/>
          <w:b/>
          <w:bCs/>
          <w:sz w:val="22"/>
          <w:szCs w:val="22"/>
          <w:lang w:val="sk-SK"/>
        </w:rPr>
        <w:t xml:space="preserve">celkový výskyt </w:t>
      </w:r>
      <w:r w:rsidRPr="00BE751D">
        <w:rPr>
          <w:rFonts w:ascii="Calibri" w:hAnsi="Calibri"/>
          <w:b/>
          <w:sz w:val="22"/>
          <w:szCs w:val="22"/>
          <w:lang w:val="sk-SK"/>
        </w:rPr>
        <w:t>dotknutých chronických ochorení</w:t>
      </w:r>
      <w:r w:rsidRPr="00EC0DCA">
        <w:rPr>
          <w:rFonts w:ascii="Calibri" w:hAnsi="Calibri"/>
          <w:sz w:val="22"/>
          <w:szCs w:val="22"/>
          <w:lang w:val="sk-SK"/>
        </w:rPr>
        <w:t xml:space="preserve">  </w:t>
      </w:r>
      <w:r>
        <w:rPr>
          <w:rFonts w:ascii="Calibri" w:hAnsi="Calibri"/>
          <w:sz w:val="22"/>
          <w:szCs w:val="22"/>
          <w:lang w:val="sk-SK"/>
        </w:rPr>
        <w:t xml:space="preserve">(CVch.o.) </w:t>
      </w:r>
      <w:r w:rsidRPr="00EC0DCA">
        <w:rPr>
          <w:rFonts w:ascii="Calibri" w:hAnsi="Calibri"/>
          <w:sz w:val="22"/>
          <w:szCs w:val="22"/>
          <w:lang w:val="sk-SK"/>
        </w:rPr>
        <w:t>sa odvodzuje od relevantných epidemiologických dát  ako počet ochorení na 100.000 obyvateľov (v percentách %)</w:t>
      </w:r>
      <w:r>
        <w:rPr>
          <w:rFonts w:ascii="Calibri" w:hAnsi="Calibri"/>
          <w:sz w:val="22"/>
          <w:szCs w:val="22"/>
          <w:lang w:val="sk-SK"/>
        </w:rPr>
        <w:t>**</w:t>
      </w:r>
    </w:p>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b/>
          <w:sz w:val="22"/>
          <w:szCs w:val="22"/>
          <w:lang w:val="sk-SK"/>
        </w:rPr>
      </w:pPr>
    </w:p>
    <w:p w:rsidR="00C06C20" w:rsidRPr="00DA238D" w:rsidRDefault="00C06C20" w:rsidP="00C06C20">
      <w:pPr>
        <w:spacing w:after="200"/>
        <w:ind w:right="-289"/>
        <w:contextualSpacing/>
        <w:rPr>
          <w:rFonts w:ascii="Calibri" w:hAnsi="Calibri"/>
          <w:b/>
          <w:sz w:val="22"/>
          <w:szCs w:val="22"/>
          <w:lang w:val="sk-SK"/>
        </w:rPr>
      </w:pPr>
      <w:r w:rsidRPr="00DA238D">
        <w:rPr>
          <w:rFonts w:ascii="Calibri" w:hAnsi="Calibri"/>
          <w:b/>
          <w:sz w:val="22"/>
          <w:szCs w:val="22"/>
          <w:lang w:val="sk-SK"/>
        </w:rPr>
        <w:t>7.2.3. Korigovaný výskyt ch.o. (KV ch.o.)</w:t>
      </w:r>
    </w:p>
    <w:p w:rsidR="00C06C20" w:rsidRDefault="00C06C20" w:rsidP="00C06C20">
      <w:pPr>
        <w:spacing w:after="200"/>
        <w:ind w:right="-289"/>
        <w:contextualSpacing/>
        <w:rPr>
          <w:rFonts w:ascii="Calibri" w:hAnsi="Calibri"/>
          <w:sz w:val="22"/>
          <w:szCs w:val="22"/>
          <w:lang w:val="sk-SK"/>
        </w:rPr>
      </w:pPr>
    </w:p>
    <w:p w:rsidR="00C06C20" w:rsidRDefault="00C06C20" w:rsidP="00C06C20">
      <w:pPr>
        <w:numPr>
          <w:ilvl w:val="0"/>
          <w:numId w:val="5"/>
        </w:numPr>
        <w:spacing w:after="200"/>
        <w:ind w:right="-289"/>
        <w:contextualSpacing/>
        <w:rPr>
          <w:rFonts w:ascii="Calibri" w:hAnsi="Calibri"/>
          <w:sz w:val="22"/>
          <w:szCs w:val="22"/>
          <w:lang w:val="sk-SK"/>
        </w:rPr>
      </w:pPr>
      <w:r>
        <w:rPr>
          <w:rFonts w:ascii="Calibri" w:hAnsi="Calibri"/>
          <w:bCs/>
          <w:sz w:val="22"/>
          <w:szCs w:val="22"/>
          <w:lang w:val="sk-SK"/>
        </w:rPr>
        <w:t xml:space="preserve">zistený </w:t>
      </w:r>
      <w:r w:rsidRPr="00EC0DCA">
        <w:rPr>
          <w:rFonts w:ascii="Calibri" w:hAnsi="Calibri"/>
          <w:bCs/>
          <w:sz w:val="22"/>
          <w:szCs w:val="22"/>
          <w:lang w:val="sk-SK"/>
        </w:rPr>
        <w:t>celkový výskyt</w:t>
      </w:r>
      <w:r w:rsidRPr="00EC0DCA">
        <w:rPr>
          <w:rFonts w:ascii="Calibri" w:hAnsi="Calibri"/>
          <w:b/>
          <w:bCs/>
          <w:sz w:val="22"/>
          <w:szCs w:val="22"/>
          <w:lang w:val="sk-SK"/>
        </w:rPr>
        <w:t xml:space="preserve"> </w:t>
      </w:r>
      <w:r w:rsidRPr="00EC0DCA">
        <w:rPr>
          <w:rFonts w:ascii="Calibri" w:hAnsi="Calibri"/>
          <w:sz w:val="22"/>
          <w:szCs w:val="22"/>
          <w:lang w:val="sk-SK"/>
        </w:rPr>
        <w:t xml:space="preserve">dotknutých chronických ochorení  </w:t>
      </w:r>
      <w:r>
        <w:rPr>
          <w:rFonts w:ascii="Calibri" w:hAnsi="Calibri"/>
          <w:sz w:val="22"/>
          <w:szCs w:val="22"/>
          <w:lang w:val="sk-SK"/>
        </w:rPr>
        <w:t xml:space="preserve">pre potreby hodnotenia dispenzárnej výkonnosti na ambulancii VLD </w:t>
      </w:r>
      <w:r>
        <w:rPr>
          <w:rFonts w:ascii="Calibri" w:hAnsi="Calibri"/>
          <w:b/>
          <w:sz w:val="22"/>
          <w:szCs w:val="22"/>
          <w:lang w:val="sk-SK"/>
        </w:rPr>
        <w:t>sa má korigovať súčiniteľom,</w:t>
      </w:r>
      <w:r w:rsidRPr="0056564C">
        <w:rPr>
          <w:rFonts w:ascii="Calibri" w:hAnsi="Calibri"/>
          <w:b/>
          <w:sz w:val="22"/>
          <w:szCs w:val="22"/>
          <w:lang w:val="sk-SK"/>
        </w:rPr>
        <w:t xml:space="preserve"> ktorý </w:t>
      </w:r>
      <w:r>
        <w:rPr>
          <w:rFonts w:ascii="Calibri" w:hAnsi="Calibri"/>
          <w:b/>
          <w:sz w:val="22"/>
          <w:szCs w:val="22"/>
          <w:lang w:val="sk-SK"/>
        </w:rPr>
        <w:t>má arbitrárne vyjadrovať</w:t>
      </w:r>
      <w:r w:rsidRPr="0056564C">
        <w:rPr>
          <w:rFonts w:ascii="Calibri" w:hAnsi="Calibri"/>
          <w:b/>
          <w:sz w:val="22"/>
          <w:szCs w:val="22"/>
          <w:lang w:val="sk-SK"/>
        </w:rPr>
        <w:t xml:space="preserve"> medziodborovú ambulantnú starostlivosť  o dané chronické ochorenie</w:t>
      </w:r>
      <w:r>
        <w:rPr>
          <w:rFonts w:ascii="Calibri" w:hAnsi="Calibri"/>
          <w:sz w:val="22"/>
          <w:szCs w:val="22"/>
          <w:lang w:val="sk-SK"/>
        </w:rPr>
        <w:t xml:space="preserve"> podľa ŠDTP*** a pre potreby výpočtu dispenzárnej výkonnosti ambulancií VLD sa použije týmto ustanovená</w:t>
      </w:r>
    </w:p>
    <w:p w:rsidR="00C06C20" w:rsidRPr="007057FE" w:rsidRDefault="00C06C20" w:rsidP="00C06C20">
      <w:pPr>
        <w:spacing w:after="200"/>
        <w:ind w:left="720" w:right="-289"/>
        <w:contextualSpacing/>
        <w:rPr>
          <w:rFonts w:ascii="Calibri" w:hAnsi="Calibri"/>
          <w:b/>
          <w:sz w:val="22"/>
          <w:szCs w:val="22"/>
          <w:lang w:val="sk-SK"/>
        </w:rPr>
      </w:pPr>
      <w:r>
        <w:rPr>
          <w:rFonts w:ascii="Calibri" w:hAnsi="Calibri"/>
          <w:sz w:val="22"/>
          <w:szCs w:val="22"/>
          <w:lang w:val="sk-SK"/>
        </w:rPr>
        <w:t xml:space="preserve">premenná </w:t>
      </w:r>
      <w:r w:rsidRPr="007057FE">
        <w:rPr>
          <w:rFonts w:ascii="Calibri" w:hAnsi="Calibri"/>
          <w:b/>
          <w:sz w:val="22"/>
          <w:szCs w:val="22"/>
          <w:lang w:val="sk-SK"/>
        </w:rPr>
        <w:t>„ko</w:t>
      </w:r>
      <w:r>
        <w:rPr>
          <w:rFonts w:ascii="Calibri" w:hAnsi="Calibri"/>
          <w:b/>
          <w:sz w:val="22"/>
          <w:szCs w:val="22"/>
          <w:lang w:val="sk-SK"/>
        </w:rPr>
        <w:t xml:space="preserve">rigovaný výskyt ch.o.“ (KVch.o.) </w:t>
      </w:r>
    </w:p>
    <w:p w:rsidR="00C06C20" w:rsidRPr="00E2797D" w:rsidRDefault="00C06C20" w:rsidP="00C06C20">
      <w:pPr>
        <w:pStyle w:val="Odsekzoznamu"/>
        <w:numPr>
          <w:ilvl w:val="0"/>
          <w:numId w:val="5"/>
        </w:numPr>
        <w:spacing w:line="240" w:lineRule="auto"/>
        <w:ind w:right="-289"/>
        <w:rPr>
          <w:b/>
        </w:rPr>
      </w:pPr>
      <w:r>
        <w:t xml:space="preserve">ide o legitímnu požiadavku na systematickú deľbu práce medzi medicínskymi odbormi , ktorých sa starostlivosť o dané ch.o. podľa príslušné ho ŠDTP  týka </w:t>
      </w:r>
    </w:p>
    <w:p w:rsidR="00C06C20" w:rsidRPr="00E2797D" w:rsidRDefault="00C06C20" w:rsidP="00C06C20">
      <w:pPr>
        <w:numPr>
          <w:ilvl w:val="0"/>
          <w:numId w:val="5"/>
        </w:numPr>
        <w:spacing w:after="200"/>
        <w:ind w:right="-289"/>
        <w:contextualSpacing/>
        <w:rPr>
          <w:rFonts w:ascii="Calibri" w:hAnsi="Calibri"/>
          <w:sz w:val="22"/>
          <w:szCs w:val="22"/>
          <w:lang w:val="sk-SK"/>
        </w:rPr>
      </w:pPr>
      <w:r w:rsidRPr="00E2797D">
        <w:rPr>
          <w:rFonts w:ascii="Calibri" w:hAnsi="Calibri"/>
          <w:b/>
          <w:sz w:val="22"/>
          <w:szCs w:val="22"/>
          <w:lang w:val="sk-SK"/>
        </w:rPr>
        <w:t xml:space="preserve">v tomto návrhu uvažujeme o </w:t>
      </w:r>
      <w:r w:rsidRPr="00E2797D">
        <w:rPr>
          <w:rFonts w:ascii="Calibri" w:hAnsi="Calibri"/>
          <w:b/>
          <w:sz w:val="22"/>
          <w:szCs w:val="22"/>
        </w:rPr>
        <w:t>KVch.o</w:t>
      </w:r>
      <w:r>
        <w:rPr>
          <w:rFonts w:ascii="Calibri" w:hAnsi="Calibri"/>
          <w:b/>
          <w:sz w:val="22"/>
          <w:szCs w:val="22"/>
        </w:rPr>
        <w:t>.</w:t>
      </w:r>
      <w:r w:rsidRPr="00E2797D">
        <w:rPr>
          <w:rFonts w:ascii="Calibri" w:hAnsi="Calibri"/>
          <w:b/>
          <w:sz w:val="22"/>
          <w:szCs w:val="22"/>
        </w:rPr>
        <w:t xml:space="preserve"> = 0,5</w:t>
      </w:r>
      <w:r>
        <w:rPr>
          <w:rFonts w:ascii="Calibri" w:hAnsi="Calibri"/>
          <w:b/>
          <w:sz w:val="22"/>
          <w:szCs w:val="22"/>
        </w:rPr>
        <w:t xml:space="preserve"> – </w:t>
      </w:r>
      <w:r w:rsidRPr="00E2797D">
        <w:rPr>
          <w:rFonts w:ascii="Calibri" w:hAnsi="Calibri"/>
          <w:sz w:val="22"/>
          <w:szCs w:val="22"/>
          <w:lang w:val="sk-SK"/>
        </w:rPr>
        <w:t>ambulancia VLD má zabezpečiť adekvátnu starostlivosť  o príslušné ch.</w:t>
      </w:r>
      <w:r>
        <w:rPr>
          <w:rFonts w:ascii="Calibri" w:hAnsi="Calibri"/>
          <w:sz w:val="22"/>
          <w:szCs w:val="22"/>
          <w:lang w:val="sk-SK"/>
        </w:rPr>
        <w:t xml:space="preserve"> </w:t>
      </w:r>
      <w:r w:rsidRPr="00E2797D">
        <w:rPr>
          <w:rFonts w:ascii="Calibri" w:hAnsi="Calibri"/>
          <w:sz w:val="22"/>
          <w:szCs w:val="22"/>
          <w:lang w:val="sk-SK"/>
        </w:rPr>
        <w:t>o</w:t>
      </w:r>
      <w:r>
        <w:rPr>
          <w:rFonts w:ascii="Calibri" w:hAnsi="Calibri"/>
          <w:sz w:val="22"/>
          <w:szCs w:val="22"/>
          <w:lang w:val="sk-SK"/>
        </w:rPr>
        <w:t>chorenia</w:t>
      </w:r>
      <w:r w:rsidRPr="00E2797D">
        <w:rPr>
          <w:rFonts w:ascii="Calibri" w:hAnsi="Calibri"/>
          <w:sz w:val="22"/>
          <w:szCs w:val="22"/>
          <w:lang w:val="sk-SK"/>
        </w:rPr>
        <w:t xml:space="preserve"> podľa ich klinického štádia až v polovici všetkých klinických prípadov t</w:t>
      </w:r>
      <w:r>
        <w:rPr>
          <w:rFonts w:ascii="Calibri" w:hAnsi="Calibri"/>
          <w:sz w:val="22"/>
          <w:szCs w:val="22"/>
          <w:lang w:val="sk-SK"/>
        </w:rPr>
        <w:t>ýchto</w:t>
      </w:r>
      <w:r w:rsidRPr="00E2797D">
        <w:rPr>
          <w:rFonts w:ascii="Calibri" w:hAnsi="Calibri"/>
          <w:sz w:val="22"/>
          <w:szCs w:val="22"/>
          <w:lang w:val="sk-SK"/>
        </w:rPr>
        <w:t xml:space="preserve"> ochoren</w:t>
      </w:r>
      <w:r>
        <w:rPr>
          <w:rFonts w:ascii="Calibri" w:hAnsi="Calibri"/>
          <w:sz w:val="22"/>
          <w:szCs w:val="22"/>
          <w:lang w:val="sk-SK"/>
        </w:rPr>
        <w:t>í</w:t>
      </w:r>
      <w:r w:rsidRPr="00E2797D">
        <w:rPr>
          <w:rFonts w:ascii="Calibri" w:hAnsi="Calibri"/>
          <w:sz w:val="22"/>
          <w:szCs w:val="22"/>
          <w:lang w:val="sk-SK"/>
        </w:rPr>
        <w:t xml:space="preserve"> </w:t>
      </w:r>
    </w:p>
    <w:p w:rsidR="00C06C20" w:rsidRDefault="00C06C20" w:rsidP="00C06C20">
      <w:pPr>
        <w:spacing w:after="200"/>
        <w:ind w:left="720"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p>
    <w:p w:rsidR="00C06C20" w:rsidRPr="00DA238D" w:rsidRDefault="00C06C20" w:rsidP="00C06C20">
      <w:pPr>
        <w:spacing w:after="200"/>
        <w:ind w:right="-289"/>
        <w:contextualSpacing/>
        <w:rPr>
          <w:rFonts w:ascii="Calibri" w:hAnsi="Calibri"/>
          <w:b/>
          <w:sz w:val="22"/>
          <w:szCs w:val="22"/>
          <w:lang w:val="sk-SK"/>
        </w:rPr>
      </w:pPr>
      <w:r w:rsidRPr="00DA238D">
        <w:rPr>
          <w:rFonts w:ascii="Calibri" w:hAnsi="Calibri"/>
          <w:b/>
          <w:sz w:val="22"/>
          <w:szCs w:val="22"/>
          <w:lang w:val="sk-SK"/>
        </w:rPr>
        <w:t>7.2.4. Prepočítaná optimálna dispenzárna výkonnosť ambulancie / mesiac - PODVM</w:t>
      </w:r>
    </w:p>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r>
        <w:rPr>
          <w:rFonts w:ascii="Calibri" w:hAnsi="Calibri"/>
          <w:sz w:val="22"/>
          <w:szCs w:val="22"/>
          <w:lang w:val="sk-SK"/>
        </w:rPr>
        <w:t>sa určí obdobne ako prepočítaná preventívna výkonnosť podľa bodu 7.1.3. a odvodzuje sa od:</w:t>
      </w:r>
    </w:p>
    <w:p w:rsidR="00C06C20" w:rsidRPr="000B7954" w:rsidRDefault="00C06C20" w:rsidP="00C06C20">
      <w:pPr>
        <w:pStyle w:val="Odsekzoznamu"/>
        <w:numPr>
          <w:ilvl w:val="0"/>
          <w:numId w:val="26"/>
        </w:numPr>
        <w:ind w:right="-289"/>
        <w:rPr>
          <w:b/>
        </w:rPr>
      </w:pPr>
      <w:r w:rsidRPr="00CE0E02">
        <w:rPr>
          <w:b/>
        </w:rPr>
        <w:t xml:space="preserve">arbitrárne stanovenej </w:t>
      </w:r>
      <w:r>
        <w:rPr>
          <w:b/>
        </w:rPr>
        <w:t xml:space="preserve">optimálnej </w:t>
      </w:r>
      <w:r w:rsidRPr="00CE0E02">
        <w:rPr>
          <w:b/>
        </w:rPr>
        <w:t xml:space="preserve">dispenzárnej výkonnosti </w:t>
      </w:r>
      <w:r>
        <w:t xml:space="preserve"> </w:t>
      </w:r>
      <w:r>
        <w:rPr>
          <w:b/>
        </w:rPr>
        <w:t>0,6****</w:t>
      </w:r>
    </w:p>
    <w:p w:rsidR="00C06C20" w:rsidRDefault="00C06C20" w:rsidP="00C06C20">
      <w:pPr>
        <w:pStyle w:val="Odsekzoznamu"/>
        <w:numPr>
          <w:ilvl w:val="0"/>
          <w:numId w:val="26"/>
        </w:numPr>
      </w:pPr>
      <w:r>
        <w:t>CVch.o. = 45% + 30% (hypertenzia + dyslipémia)  =  75%</w:t>
      </w:r>
    </w:p>
    <w:p w:rsidR="00C06C20" w:rsidRDefault="00C06C20" w:rsidP="00C06C20">
      <w:pPr>
        <w:pStyle w:val="Odsekzoznamu"/>
        <w:numPr>
          <w:ilvl w:val="0"/>
          <w:numId w:val="26"/>
        </w:numPr>
      </w:pPr>
      <w:r>
        <w:t>KVch.o. = 0,5</w:t>
      </w:r>
    </w:p>
    <w:p w:rsidR="00C06C20" w:rsidRDefault="00213568" w:rsidP="00C06C20">
      <w:pPr>
        <w:pStyle w:val="Odsekzoznamu"/>
        <w:numPr>
          <w:ilvl w:val="0"/>
          <w:numId w:val="26"/>
        </w:numPr>
      </w:pPr>
      <w:r>
        <w:rPr>
          <w:noProof/>
          <w:lang w:eastAsia="sk-SK"/>
        </w:rPr>
        <w:pict>
          <v:rect id="_x0000_s2073" style="position:absolute;left:0;text-align:left;margin-left:-13.75pt;margin-top:24pt;width:490.35pt;height:47.55pt;z-index:-251655168" fillcolor="#f2f2f2 [3052]"/>
        </w:pict>
      </w:r>
      <w:r w:rsidR="00C06C20">
        <w:t>Konštanta „12“ = 12 mesiacov roka</w:t>
      </w:r>
    </w:p>
    <w:p w:rsidR="00C06C20" w:rsidRPr="00E51E44" w:rsidRDefault="00C06C20" w:rsidP="00C06C20">
      <w:pPr>
        <w:rPr>
          <w:rFonts w:ascii="Calibri" w:hAnsi="Calibri"/>
          <w:sz w:val="22"/>
          <w:szCs w:val="22"/>
          <w:lang w:val="sk-SK"/>
        </w:rPr>
      </w:pPr>
      <w:r w:rsidRPr="00E51E44">
        <w:rPr>
          <w:rFonts w:ascii="Calibri" w:hAnsi="Calibri"/>
          <w:sz w:val="22"/>
          <w:szCs w:val="22"/>
          <w:lang w:val="sk-SK"/>
        </w:rPr>
        <w:t xml:space="preserve">Vzorec pre výpočet vyplývajúci z bodov 7.2.2 až 7.2.3 je nasledovný: </w:t>
      </w:r>
    </w:p>
    <w:p w:rsidR="00C06C20" w:rsidRPr="00CE0E02" w:rsidRDefault="00C06C20" w:rsidP="00C06C20">
      <w:pPr>
        <w:rPr>
          <w:rFonts w:ascii="Calibri" w:hAnsi="Calibri"/>
          <w:sz w:val="22"/>
          <w:szCs w:val="22"/>
        </w:rPr>
      </w:pPr>
    </w:p>
    <w:p w:rsidR="00C06C20" w:rsidRDefault="00C06C20" w:rsidP="00C06C20">
      <w:pPr>
        <w:rPr>
          <w:rFonts w:ascii="Calibri" w:hAnsi="Calibri"/>
          <w:sz w:val="22"/>
          <w:szCs w:val="22"/>
        </w:rPr>
      </w:pPr>
      <w:r>
        <w:rPr>
          <w:rFonts w:ascii="Calibri" w:hAnsi="Calibri"/>
          <w:b/>
          <w:color w:val="FF0000"/>
          <w:sz w:val="22"/>
          <w:szCs w:val="22"/>
        </w:rPr>
        <w:t>POD</w:t>
      </w:r>
      <w:r w:rsidRPr="00CE0E02">
        <w:rPr>
          <w:rFonts w:ascii="Calibri" w:hAnsi="Calibri"/>
          <w:b/>
          <w:color w:val="FF0000"/>
          <w:sz w:val="22"/>
          <w:szCs w:val="22"/>
        </w:rPr>
        <w:t>VM = (</w:t>
      </w:r>
      <w:r>
        <w:rPr>
          <w:rFonts w:ascii="Calibri" w:hAnsi="Calibri"/>
          <w:b/>
          <w:color w:val="FF0000"/>
          <w:sz w:val="22"/>
          <w:szCs w:val="22"/>
        </w:rPr>
        <w:t xml:space="preserve">CVch.o x KVch.o  x 0,6) / 12 </w:t>
      </w:r>
      <w:r>
        <w:rPr>
          <w:rFonts w:ascii="Calibri" w:hAnsi="Calibri"/>
          <w:sz w:val="22"/>
          <w:szCs w:val="22"/>
        </w:rPr>
        <w:t xml:space="preserve">= 0,75 x 0,5 x 0,6 / 12 </w:t>
      </w:r>
      <w:r w:rsidRPr="00A65371">
        <w:rPr>
          <w:rFonts w:ascii="Calibri" w:hAnsi="Calibri"/>
          <w:b/>
          <w:color w:val="FF0000"/>
          <w:sz w:val="22"/>
          <w:szCs w:val="22"/>
        </w:rPr>
        <w:t>= 1,875 % pac. / mesiac</w:t>
      </w:r>
      <w:r>
        <w:rPr>
          <w:rFonts w:ascii="Calibri" w:hAnsi="Calibri"/>
          <w:sz w:val="22"/>
          <w:szCs w:val="22"/>
        </w:rPr>
        <w:t xml:space="preserve">, </w:t>
      </w:r>
    </w:p>
    <w:p w:rsidR="00C06C20" w:rsidRDefault="00C06C20" w:rsidP="00C06C20">
      <w:pPr>
        <w:spacing w:after="200"/>
        <w:ind w:right="-289"/>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Pr>
          <w:rFonts w:ascii="Calibri" w:hAnsi="Calibri"/>
          <w:b/>
          <w:sz w:val="22"/>
          <w:szCs w:val="22"/>
          <w:lang w:val="sk-SK"/>
        </w:rPr>
        <w:t>7.2.5</w:t>
      </w:r>
      <w:r w:rsidRPr="002E1CCB">
        <w:rPr>
          <w:rFonts w:ascii="Calibri" w:hAnsi="Calibri"/>
          <w:b/>
          <w:sz w:val="22"/>
          <w:szCs w:val="22"/>
          <w:lang w:val="sk-SK"/>
        </w:rPr>
        <w:t>.</w:t>
      </w:r>
      <w:r>
        <w:rPr>
          <w:rFonts w:ascii="Calibri" w:hAnsi="Calibri"/>
          <w:sz w:val="22"/>
          <w:szCs w:val="22"/>
          <w:lang w:val="sk-SK"/>
        </w:rPr>
        <w:t xml:space="preserve"> </w:t>
      </w:r>
      <w:r w:rsidRPr="009B3CBC">
        <w:rPr>
          <w:rFonts w:ascii="Calibri" w:hAnsi="Calibri"/>
          <w:sz w:val="22"/>
          <w:szCs w:val="22"/>
          <w:lang w:val="sk-SK"/>
        </w:rPr>
        <w:t xml:space="preserve">Stanovením </w:t>
      </w:r>
      <w:r w:rsidRPr="002E1CCB">
        <w:rPr>
          <w:rFonts w:ascii="Calibri" w:hAnsi="Calibri"/>
          <w:sz w:val="22"/>
          <w:szCs w:val="22"/>
          <w:lang w:val="sk-SK"/>
        </w:rPr>
        <w:t>prepo</w:t>
      </w:r>
      <w:r>
        <w:rPr>
          <w:rFonts w:ascii="Calibri" w:hAnsi="Calibri"/>
          <w:sz w:val="22"/>
          <w:szCs w:val="22"/>
          <w:lang w:val="sk-SK"/>
        </w:rPr>
        <w:t xml:space="preserve">čítanej optimálnej dispenzárnej </w:t>
      </w:r>
      <w:r w:rsidRPr="002E1CCB">
        <w:rPr>
          <w:rFonts w:ascii="Calibri" w:hAnsi="Calibri"/>
          <w:sz w:val="22"/>
          <w:szCs w:val="22"/>
          <w:lang w:val="sk-SK"/>
        </w:rPr>
        <w:t>výkonnosti</w:t>
      </w:r>
      <w:r w:rsidRPr="009B3CBC">
        <w:rPr>
          <w:rFonts w:ascii="Calibri" w:hAnsi="Calibri"/>
          <w:sz w:val="22"/>
          <w:szCs w:val="22"/>
          <w:lang w:val="sk-SK"/>
        </w:rPr>
        <w:t xml:space="preserve"> </w:t>
      </w:r>
      <w:r w:rsidRPr="002E1CCB">
        <w:rPr>
          <w:rFonts w:ascii="Calibri" w:hAnsi="Calibri"/>
          <w:b/>
          <w:sz w:val="22"/>
          <w:szCs w:val="22"/>
          <w:lang w:val="sk-SK"/>
        </w:rPr>
        <w:t xml:space="preserve">sa stanovuje </w:t>
      </w:r>
      <w:r>
        <w:rPr>
          <w:rFonts w:ascii="Calibri" w:hAnsi="Calibri"/>
          <w:b/>
          <w:sz w:val="22"/>
          <w:szCs w:val="22"/>
          <w:lang w:val="sk-SK"/>
        </w:rPr>
        <w:t xml:space="preserve">optimálna horná </w:t>
      </w:r>
      <w:r w:rsidRPr="002E1CCB">
        <w:rPr>
          <w:rFonts w:ascii="Calibri" w:hAnsi="Calibri"/>
          <w:b/>
          <w:sz w:val="22"/>
          <w:szCs w:val="22"/>
          <w:lang w:val="sk-SK"/>
        </w:rPr>
        <w:t xml:space="preserve"> výkonnostná hladina </w:t>
      </w:r>
      <w:r>
        <w:rPr>
          <w:rFonts w:ascii="Calibri" w:hAnsi="Calibri"/>
          <w:b/>
          <w:sz w:val="22"/>
          <w:szCs w:val="22"/>
          <w:lang w:val="sk-SK"/>
        </w:rPr>
        <w:t xml:space="preserve">platná </w:t>
      </w:r>
      <w:r w:rsidRPr="002E1CCB">
        <w:rPr>
          <w:rFonts w:ascii="Calibri" w:hAnsi="Calibri"/>
          <w:b/>
          <w:sz w:val="22"/>
          <w:szCs w:val="22"/>
          <w:lang w:val="sk-SK"/>
        </w:rPr>
        <w:t>pre každú konkrétnu ambulanciu VLD</w:t>
      </w:r>
      <w:r>
        <w:rPr>
          <w:rFonts w:ascii="Calibri" w:hAnsi="Calibri"/>
          <w:sz w:val="22"/>
          <w:szCs w:val="22"/>
          <w:lang w:val="sk-SK"/>
        </w:rPr>
        <w:t xml:space="preserve"> a v</w:t>
      </w:r>
      <w:r w:rsidRPr="009B3CBC">
        <w:rPr>
          <w:rFonts w:ascii="Calibri" w:hAnsi="Calibri"/>
          <w:sz w:val="22"/>
          <w:szCs w:val="22"/>
          <w:lang w:val="sk-SK"/>
        </w:rPr>
        <w:t>ytvára</w:t>
      </w:r>
      <w:r>
        <w:rPr>
          <w:rFonts w:ascii="Calibri" w:hAnsi="Calibri"/>
          <w:sz w:val="22"/>
          <w:szCs w:val="22"/>
          <w:lang w:val="sk-SK"/>
        </w:rPr>
        <w:t xml:space="preserve"> sa </w:t>
      </w:r>
      <w:r w:rsidRPr="009B3CBC">
        <w:rPr>
          <w:rFonts w:ascii="Calibri" w:hAnsi="Calibri"/>
          <w:sz w:val="22"/>
          <w:szCs w:val="22"/>
          <w:lang w:val="sk-SK"/>
        </w:rPr>
        <w:t>priestor na bon</w:t>
      </w:r>
      <w:r>
        <w:rPr>
          <w:rFonts w:ascii="Calibri" w:hAnsi="Calibri"/>
          <w:sz w:val="22"/>
          <w:szCs w:val="22"/>
          <w:lang w:val="sk-SK"/>
        </w:rPr>
        <w:t xml:space="preserve">ifikáciu </w:t>
      </w:r>
      <w:r w:rsidRPr="009B3CBC">
        <w:rPr>
          <w:rFonts w:ascii="Calibri" w:hAnsi="Calibri"/>
          <w:sz w:val="22"/>
          <w:szCs w:val="22"/>
          <w:lang w:val="sk-SK"/>
        </w:rPr>
        <w:t xml:space="preserve">poskytovateľov, </w:t>
      </w:r>
      <w:r>
        <w:rPr>
          <w:rFonts w:ascii="Calibri" w:hAnsi="Calibri"/>
          <w:sz w:val="22"/>
          <w:szCs w:val="22"/>
          <w:lang w:val="sk-SK"/>
        </w:rPr>
        <w:t xml:space="preserve">v závislosti od ich konkrétnej dispenzárnej výkonnosti. </w:t>
      </w:r>
      <w:r w:rsidRPr="009B3CBC">
        <w:rPr>
          <w:rFonts w:ascii="Calibri" w:hAnsi="Calibri"/>
          <w:sz w:val="22"/>
          <w:szCs w:val="22"/>
          <w:lang w:val="sk-SK"/>
        </w:rPr>
        <w:t xml:space="preserve"> </w:t>
      </w:r>
    </w:p>
    <w:p w:rsidR="00C06C20" w:rsidRDefault="00C06C20" w:rsidP="00C06C20">
      <w:pPr>
        <w:contextualSpacing/>
        <w:rPr>
          <w:rFonts w:ascii="Calibri" w:hAnsi="Calibri"/>
          <w:sz w:val="22"/>
          <w:szCs w:val="22"/>
          <w:lang w:val="sk-SK"/>
        </w:rPr>
      </w:pPr>
    </w:p>
    <w:p w:rsidR="00C06C20" w:rsidRDefault="00C06C20" w:rsidP="00C06C20">
      <w:pPr>
        <w:contextualSpacing/>
        <w:rPr>
          <w:rFonts w:ascii="Calibri" w:hAnsi="Calibri"/>
          <w:sz w:val="22"/>
          <w:szCs w:val="22"/>
          <w:lang w:val="sk-SK"/>
        </w:rPr>
      </w:pPr>
      <w:r>
        <w:rPr>
          <w:rFonts w:ascii="Calibri" w:hAnsi="Calibri"/>
          <w:sz w:val="22"/>
          <w:szCs w:val="22"/>
          <w:lang w:val="sk-SK"/>
        </w:rPr>
        <w:t xml:space="preserve">Stanovuje sa 5 výkonnostných hladín, pomerným rozdelením PODVM, pričom každá predstavuje </w:t>
      </w:r>
      <w:r w:rsidRPr="009B3CBC">
        <w:rPr>
          <w:rFonts w:ascii="Calibri" w:hAnsi="Calibri"/>
          <w:sz w:val="22"/>
          <w:szCs w:val="22"/>
          <w:lang w:val="sk-SK"/>
        </w:rPr>
        <w:t>1</w:t>
      </w:r>
      <w:r>
        <w:rPr>
          <w:rFonts w:ascii="Calibri" w:hAnsi="Calibri"/>
          <w:sz w:val="22"/>
          <w:szCs w:val="22"/>
          <w:lang w:val="sk-SK"/>
        </w:rPr>
        <w:t>,5</w:t>
      </w:r>
      <w:r w:rsidRPr="009B3CBC">
        <w:rPr>
          <w:rFonts w:ascii="Calibri" w:hAnsi="Calibri"/>
          <w:sz w:val="22"/>
          <w:szCs w:val="22"/>
          <w:lang w:val="sk-SK"/>
        </w:rPr>
        <w:t>% bodu základnej kapi</w:t>
      </w:r>
      <w:r>
        <w:rPr>
          <w:rFonts w:ascii="Calibri" w:hAnsi="Calibri"/>
          <w:sz w:val="22"/>
          <w:szCs w:val="22"/>
          <w:lang w:val="sk-SK"/>
        </w:rPr>
        <w:t>tačnej platby násobenej príslušným výkonnostným stupňom „n“ (viz. tabuľka – v príklade je uvedená výška základnej kapitácie 3,00 EUR</w:t>
      </w:r>
      <w:r w:rsidRPr="009B3CBC">
        <w:rPr>
          <w:rFonts w:ascii="Calibri" w:hAnsi="Calibri"/>
          <w:sz w:val="22"/>
          <w:szCs w:val="22"/>
          <w:lang w:val="sk-SK"/>
        </w:rPr>
        <w:t xml:space="preserve">). </w:t>
      </w:r>
    </w:p>
    <w:p w:rsidR="00C06C20" w:rsidRDefault="00C06C20" w:rsidP="00C06C20">
      <w:pPr>
        <w:contextualSpacing/>
        <w:rPr>
          <w:rFonts w:ascii="Calibri" w:hAnsi="Calibri"/>
          <w:sz w:val="22"/>
          <w:szCs w:val="22"/>
          <w:lang w:val="sk-SK"/>
        </w:rPr>
      </w:pPr>
    </w:p>
    <w:p w:rsidR="00C06C20" w:rsidRPr="004855D7" w:rsidRDefault="00C06C20" w:rsidP="00C06C20">
      <w:pPr>
        <w:contextualSpacing/>
        <w:rPr>
          <w:rFonts w:ascii="Calibri" w:hAnsi="Calibri"/>
          <w:b/>
          <w:i/>
          <w:color w:val="FF0000"/>
          <w:sz w:val="22"/>
          <w:szCs w:val="22"/>
          <w:lang w:val="sk-SK"/>
        </w:rPr>
      </w:pPr>
      <w:r w:rsidRPr="002D2C33">
        <w:rPr>
          <w:rFonts w:ascii="Calibri" w:hAnsi="Calibri"/>
          <w:b/>
          <w:sz w:val="22"/>
          <w:szCs w:val="22"/>
          <w:lang w:val="sk-SK"/>
        </w:rPr>
        <w:t>Pre jednotlivú výkonnostnú hladinu „h“ platí výpočet:</w:t>
      </w:r>
      <w:r w:rsidRPr="002221AA">
        <w:rPr>
          <w:rFonts w:ascii="Calibri" w:hAnsi="Calibri"/>
          <w:b/>
          <w:color w:val="FF0000"/>
          <w:sz w:val="22"/>
          <w:szCs w:val="22"/>
          <w:lang w:val="sk-SK"/>
        </w:rPr>
        <w:t xml:space="preserve">  </w:t>
      </w:r>
      <w:r w:rsidRPr="004855D7">
        <w:rPr>
          <w:rStyle w:val="Zvraznenie"/>
          <w:rFonts w:ascii="Calibri" w:hAnsi="Calibri"/>
          <w:b/>
          <w:i w:val="0"/>
          <w:color w:val="FF0000"/>
          <w:sz w:val="22"/>
          <w:szCs w:val="22"/>
        </w:rPr>
        <w:t>h x n = n x (PODVM/5)</w:t>
      </w:r>
    </w:p>
    <w:p w:rsidR="00C06C20" w:rsidRDefault="00C06C20" w:rsidP="00C06C20">
      <w:pPr>
        <w:rPr>
          <w:rFonts w:ascii="Calibri" w:hAnsi="Calibri"/>
          <w:b/>
          <w:sz w:val="22"/>
          <w:szCs w:val="22"/>
          <w:lang w:val="sk-SK"/>
        </w:rPr>
      </w:pPr>
      <w:r>
        <w:rPr>
          <w:rFonts w:ascii="Calibri" w:hAnsi="Calibri"/>
          <w:b/>
          <w:sz w:val="22"/>
          <w:szCs w:val="22"/>
          <w:lang w:val="sk-SK"/>
        </w:rPr>
        <w:t xml:space="preserve">pričom n = [ 1 , 5 </w:t>
      </w:r>
      <w:r w:rsidRPr="00814555">
        <w:rPr>
          <w:rFonts w:ascii="Calibri" w:hAnsi="Calibri"/>
          <w:b/>
          <w:sz w:val="22"/>
          <w:szCs w:val="22"/>
          <w:lang w:val="sk-SK"/>
        </w:rPr>
        <w:t xml:space="preserve">] </w:t>
      </w:r>
    </w:p>
    <w:p w:rsidR="00C06C20" w:rsidRDefault="00C06C20" w:rsidP="00C06C20">
      <w:pPr>
        <w:rPr>
          <w:rFonts w:ascii="Calibri" w:hAnsi="Calibri"/>
          <w:lang w:val="sk-SK"/>
        </w:rPr>
      </w:pPr>
    </w:p>
    <w:p w:rsidR="00C06C20" w:rsidRPr="000C24CF" w:rsidRDefault="00C06C20" w:rsidP="00C06C20">
      <w:pPr>
        <w:rPr>
          <w:rFonts w:ascii="Calibri" w:hAnsi="Calibri"/>
          <w:sz w:val="22"/>
          <w:szCs w:val="22"/>
          <w:lang w:val="sk-SK"/>
        </w:rPr>
      </w:pPr>
      <w:r w:rsidRPr="000C24CF">
        <w:rPr>
          <w:rFonts w:ascii="Calibri" w:hAnsi="Calibri"/>
          <w:b/>
          <w:sz w:val="22"/>
          <w:szCs w:val="22"/>
          <w:lang w:val="sk-SK"/>
        </w:rPr>
        <w:t>7.2.6.</w:t>
      </w:r>
      <w:r w:rsidRPr="000C24CF">
        <w:rPr>
          <w:rFonts w:ascii="Calibri" w:hAnsi="Calibri"/>
          <w:sz w:val="22"/>
          <w:szCs w:val="22"/>
          <w:lang w:val="sk-SK"/>
        </w:rPr>
        <w:t xml:space="preserve"> Výsledný bonus za dispenzárnu výkonnosť na konkrétnej ambulancii je súčin počtu kapitovaných pacientov (PKP), základnej kapitačnej platby (ZKP), výkonostnej hladiny h = 0,015 </w:t>
      </w:r>
      <w:r>
        <w:rPr>
          <w:rFonts w:ascii="Calibri" w:hAnsi="Calibri"/>
          <w:sz w:val="22"/>
          <w:szCs w:val="22"/>
          <w:lang w:val="sk-SK"/>
        </w:rPr>
        <w:t xml:space="preserve">(1,5%) </w:t>
      </w:r>
      <w:r w:rsidRPr="000C24CF">
        <w:rPr>
          <w:rFonts w:ascii="Calibri" w:hAnsi="Calibri"/>
          <w:sz w:val="22"/>
          <w:szCs w:val="22"/>
          <w:lang w:val="sk-SK"/>
        </w:rPr>
        <w:t xml:space="preserve">príslušnej stupňu výkonu n (spolu „hn“):   </w:t>
      </w:r>
      <w:r w:rsidRPr="000C24CF">
        <w:rPr>
          <w:rFonts w:ascii="Calibri" w:hAnsi="Calibri"/>
          <w:b/>
          <w:color w:val="FF0000"/>
          <w:sz w:val="22"/>
          <w:szCs w:val="22"/>
          <w:lang w:val="sk-SK"/>
        </w:rPr>
        <w:t>Dispenzárna výkonnosť = PKP x</w:t>
      </w:r>
      <w:r>
        <w:rPr>
          <w:rFonts w:ascii="Calibri" w:hAnsi="Calibri"/>
          <w:b/>
          <w:color w:val="FF0000"/>
          <w:sz w:val="22"/>
          <w:szCs w:val="22"/>
          <w:lang w:val="sk-SK"/>
        </w:rPr>
        <w:t xml:space="preserve"> ZKP x </w:t>
      </w:r>
      <w:r w:rsidRPr="000C24CF">
        <w:rPr>
          <w:rFonts w:ascii="Calibri" w:hAnsi="Calibri"/>
          <w:b/>
          <w:color w:val="FF0000"/>
          <w:sz w:val="22"/>
          <w:szCs w:val="22"/>
          <w:lang w:val="sk-SK"/>
        </w:rPr>
        <w:t xml:space="preserve"> n x h </w:t>
      </w:r>
      <w:r w:rsidRPr="000C24CF">
        <w:rPr>
          <w:rFonts w:ascii="Calibri" w:hAnsi="Calibri"/>
          <w:color w:val="FF0000"/>
          <w:sz w:val="22"/>
          <w:szCs w:val="22"/>
          <w:lang w:val="sk-SK"/>
        </w:rPr>
        <w:t xml:space="preserve">= napríklad: 1900pac. x 3,00 EUR x h0,015 x n3 </w:t>
      </w:r>
    </w:p>
    <w:p w:rsidR="00C06C20" w:rsidRDefault="00C06C20" w:rsidP="00C06C20">
      <w:pPr>
        <w:rPr>
          <w:rFonts w:ascii="Calibri" w:hAnsi="Calibri"/>
          <w:lang w:val="sk-SK"/>
        </w:rPr>
      </w:pPr>
    </w:p>
    <w:p w:rsidR="00C06C20" w:rsidRPr="000B7954" w:rsidRDefault="00C06C20" w:rsidP="00C06C20">
      <w:pPr>
        <w:ind w:right="-289"/>
      </w:pPr>
    </w:p>
    <w:tbl>
      <w:tblPr>
        <w:tblStyle w:val="Mriekatabuky"/>
        <w:tblW w:w="0" w:type="auto"/>
        <w:tblLook w:val="04A0"/>
      </w:tblPr>
      <w:tblGrid>
        <w:gridCol w:w="2518"/>
        <w:gridCol w:w="1134"/>
        <w:gridCol w:w="1418"/>
        <w:gridCol w:w="1417"/>
        <w:gridCol w:w="1418"/>
        <w:gridCol w:w="1301"/>
      </w:tblGrid>
      <w:tr w:rsidR="00C06C20" w:rsidTr="000C5710">
        <w:tc>
          <w:tcPr>
            <w:tcW w:w="2518"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Základá kapitácia? 3,-EUR</w:t>
            </w:r>
          </w:p>
        </w:tc>
        <w:tc>
          <w:tcPr>
            <w:tcW w:w="1134"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1%=0,03 E</w:t>
            </w:r>
          </w:p>
        </w:tc>
        <w:tc>
          <w:tcPr>
            <w:tcW w:w="1418"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1500 /28</w:t>
            </w:r>
          </w:p>
        </w:tc>
        <w:tc>
          <w:tcPr>
            <w:tcW w:w="1417"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1900 / 35</w:t>
            </w:r>
          </w:p>
        </w:tc>
        <w:tc>
          <w:tcPr>
            <w:tcW w:w="1418"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2500 / 46</w:t>
            </w:r>
          </w:p>
        </w:tc>
        <w:tc>
          <w:tcPr>
            <w:tcW w:w="1301" w:type="dxa"/>
            <w:shd w:val="clear" w:color="auto" w:fill="F2F2F2" w:themeFill="background1" w:themeFillShade="F2"/>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5000 / 93</w:t>
            </w:r>
          </w:p>
        </w:tc>
      </w:tr>
      <w:tr w:rsidR="00C06C20" w:rsidTr="000C5710">
        <w:tc>
          <w:tcPr>
            <w:tcW w:w="25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h5.  1,875%+  (+7,5% bon.)</w:t>
            </w:r>
          </w:p>
        </w:tc>
        <w:tc>
          <w:tcPr>
            <w:tcW w:w="1134" w:type="dxa"/>
            <w:shd w:val="clear" w:color="auto" w:fill="D9D9D9" w:themeFill="background1" w:themeFillShade="D9"/>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0,225 EUR</w:t>
            </w:r>
          </w:p>
        </w:tc>
        <w:tc>
          <w:tcPr>
            <w:tcW w:w="14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+337,5 EUR</w:t>
            </w:r>
          </w:p>
        </w:tc>
        <w:tc>
          <w:tcPr>
            <w:tcW w:w="1417" w:type="dxa"/>
          </w:tcPr>
          <w:p w:rsidR="00C06C20" w:rsidRDefault="00C06C20" w:rsidP="000C5710">
            <w:pPr>
              <w:spacing w:after="200"/>
              <w:ind w:right="-289"/>
              <w:contextualSpacing/>
              <w:rPr>
                <w:rFonts w:ascii="Calibri" w:hAnsi="Calibri"/>
                <w:sz w:val="22"/>
                <w:szCs w:val="22"/>
                <w:lang w:val="sk-SK"/>
              </w:rPr>
            </w:pPr>
          </w:p>
        </w:tc>
        <w:tc>
          <w:tcPr>
            <w:tcW w:w="1418" w:type="dxa"/>
          </w:tcPr>
          <w:p w:rsidR="00C06C20" w:rsidRDefault="00C06C20" w:rsidP="000C5710">
            <w:pPr>
              <w:spacing w:after="200"/>
              <w:ind w:right="-289"/>
              <w:contextualSpacing/>
              <w:rPr>
                <w:rFonts w:ascii="Calibri" w:hAnsi="Calibri"/>
                <w:sz w:val="22"/>
                <w:szCs w:val="22"/>
                <w:lang w:val="sk-SK"/>
              </w:rPr>
            </w:pPr>
          </w:p>
        </w:tc>
        <w:tc>
          <w:tcPr>
            <w:tcW w:w="1301"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+ 1125 EUR</w:t>
            </w:r>
          </w:p>
        </w:tc>
      </w:tr>
      <w:tr w:rsidR="00C06C20" w:rsidTr="000C5710">
        <w:tc>
          <w:tcPr>
            <w:tcW w:w="25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h4.  1,500%+  (+6,0% bon.)</w:t>
            </w:r>
          </w:p>
        </w:tc>
        <w:tc>
          <w:tcPr>
            <w:tcW w:w="1134" w:type="dxa"/>
            <w:shd w:val="clear" w:color="auto" w:fill="D9D9D9" w:themeFill="background1" w:themeFillShade="D9"/>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0,18 EUR</w:t>
            </w:r>
          </w:p>
        </w:tc>
        <w:tc>
          <w:tcPr>
            <w:tcW w:w="1418" w:type="dxa"/>
          </w:tcPr>
          <w:p w:rsidR="00C06C20" w:rsidRDefault="00C06C20" w:rsidP="000C5710">
            <w:pPr>
              <w:spacing w:after="200"/>
              <w:ind w:right="-289"/>
              <w:contextualSpacing/>
              <w:rPr>
                <w:rFonts w:ascii="Calibri" w:hAnsi="Calibri"/>
                <w:sz w:val="22"/>
                <w:szCs w:val="22"/>
                <w:lang w:val="sk-SK"/>
              </w:rPr>
            </w:pPr>
          </w:p>
        </w:tc>
        <w:tc>
          <w:tcPr>
            <w:tcW w:w="1417" w:type="dxa"/>
          </w:tcPr>
          <w:p w:rsidR="00C06C20" w:rsidRDefault="00C06C20" w:rsidP="000C5710">
            <w:pPr>
              <w:spacing w:after="200"/>
              <w:ind w:right="-289"/>
              <w:contextualSpacing/>
              <w:rPr>
                <w:rFonts w:ascii="Calibri" w:hAnsi="Calibri"/>
                <w:sz w:val="22"/>
                <w:szCs w:val="22"/>
                <w:lang w:val="sk-SK"/>
              </w:rPr>
            </w:pPr>
          </w:p>
        </w:tc>
        <w:tc>
          <w:tcPr>
            <w:tcW w:w="14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+ 450 EUR</w:t>
            </w:r>
          </w:p>
        </w:tc>
        <w:tc>
          <w:tcPr>
            <w:tcW w:w="1301" w:type="dxa"/>
          </w:tcPr>
          <w:p w:rsidR="00C06C20" w:rsidRDefault="00C06C20" w:rsidP="000C5710">
            <w:pPr>
              <w:spacing w:after="200"/>
              <w:ind w:right="-289"/>
              <w:contextualSpacing/>
              <w:rPr>
                <w:rFonts w:ascii="Calibri" w:hAnsi="Calibri"/>
                <w:sz w:val="22"/>
                <w:szCs w:val="22"/>
                <w:lang w:val="sk-SK"/>
              </w:rPr>
            </w:pPr>
          </w:p>
        </w:tc>
      </w:tr>
      <w:tr w:rsidR="00C06C20" w:rsidTr="000C5710">
        <w:tc>
          <w:tcPr>
            <w:tcW w:w="25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h3.  1,125%+   (+4,5% bon.)</w:t>
            </w:r>
          </w:p>
        </w:tc>
        <w:tc>
          <w:tcPr>
            <w:tcW w:w="1134" w:type="dxa"/>
            <w:shd w:val="clear" w:color="auto" w:fill="D9D9D9" w:themeFill="background1" w:themeFillShade="D9"/>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0,135 EUR</w:t>
            </w:r>
          </w:p>
        </w:tc>
        <w:tc>
          <w:tcPr>
            <w:tcW w:w="1418" w:type="dxa"/>
          </w:tcPr>
          <w:p w:rsidR="00C06C20" w:rsidRDefault="00C06C20" w:rsidP="000C5710">
            <w:pPr>
              <w:spacing w:after="200"/>
              <w:ind w:right="-289"/>
              <w:contextualSpacing/>
              <w:rPr>
                <w:rFonts w:ascii="Calibri" w:hAnsi="Calibri"/>
                <w:sz w:val="22"/>
                <w:szCs w:val="22"/>
                <w:lang w:val="sk-SK"/>
              </w:rPr>
            </w:pPr>
          </w:p>
        </w:tc>
        <w:tc>
          <w:tcPr>
            <w:tcW w:w="1417" w:type="dxa"/>
            <w:shd w:val="clear" w:color="auto" w:fill="FBD4B4" w:themeFill="accent6" w:themeFillTint="66"/>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+ 256,5 EUR</w:t>
            </w:r>
          </w:p>
        </w:tc>
        <w:tc>
          <w:tcPr>
            <w:tcW w:w="1418" w:type="dxa"/>
          </w:tcPr>
          <w:p w:rsidR="00C06C20" w:rsidRDefault="00C06C20" w:rsidP="000C5710">
            <w:pPr>
              <w:spacing w:after="200"/>
              <w:ind w:right="-289"/>
              <w:contextualSpacing/>
              <w:rPr>
                <w:rFonts w:ascii="Calibri" w:hAnsi="Calibri"/>
                <w:sz w:val="22"/>
                <w:szCs w:val="22"/>
                <w:lang w:val="sk-SK"/>
              </w:rPr>
            </w:pPr>
          </w:p>
        </w:tc>
        <w:tc>
          <w:tcPr>
            <w:tcW w:w="1301" w:type="dxa"/>
          </w:tcPr>
          <w:p w:rsidR="00C06C20" w:rsidRDefault="00C06C20" w:rsidP="000C5710">
            <w:pPr>
              <w:spacing w:after="200"/>
              <w:ind w:right="-289"/>
              <w:contextualSpacing/>
              <w:rPr>
                <w:rFonts w:ascii="Calibri" w:hAnsi="Calibri"/>
                <w:sz w:val="22"/>
                <w:szCs w:val="22"/>
                <w:lang w:val="sk-SK"/>
              </w:rPr>
            </w:pPr>
          </w:p>
        </w:tc>
      </w:tr>
      <w:tr w:rsidR="00C06C20" w:rsidTr="000C5710">
        <w:tc>
          <w:tcPr>
            <w:tcW w:w="25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h2.  0,750%+   (+3,0% bon.)</w:t>
            </w:r>
          </w:p>
        </w:tc>
        <w:tc>
          <w:tcPr>
            <w:tcW w:w="1134" w:type="dxa"/>
            <w:shd w:val="clear" w:color="auto" w:fill="D9D9D9" w:themeFill="background1" w:themeFillShade="D9"/>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0,09 EUR</w:t>
            </w:r>
          </w:p>
        </w:tc>
        <w:tc>
          <w:tcPr>
            <w:tcW w:w="14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+ 135 EUR</w:t>
            </w:r>
          </w:p>
        </w:tc>
        <w:tc>
          <w:tcPr>
            <w:tcW w:w="1417" w:type="dxa"/>
          </w:tcPr>
          <w:p w:rsidR="00C06C20" w:rsidRDefault="00C06C20" w:rsidP="000C5710">
            <w:pPr>
              <w:spacing w:after="200"/>
              <w:ind w:right="-289"/>
              <w:contextualSpacing/>
              <w:rPr>
                <w:rFonts w:ascii="Calibri" w:hAnsi="Calibri"/>
                <w:sz w:val="22"/>
                <w:szCs w:val="22"/>
                <w:lang w:val="sk-SK"/>
              </w:rPr>
            </w:pPr>
          </w:p>
        </w:tc>
        <w:tc>
          <w:tcPr>
            <w:tcW w:w="1418" w:type="dxa"/>
          </w:tcPr>
          <w:p w:rsidR="00C06C20" w:rsidRDefault="00C06C20" w:rsidP="000C5710">
            <w:pPr>
              <w:spacing w:after="200"/>
              <w:ind w:right="-289"/>
              <w:contextualSpacing/>
              <w:rPr>
                <w:rFonts w:ascii="Calibri" w:hAnsi="Calibri"/>
                <w:sz w:val="22"/>
                <w:szCs w:val="22"/>
                <w:lang w:val="sk-SK"/>
              </w:rPr>
            </w:pPr>
          </w:p>
        </w:tc>
        <w:tc>
          <w:tcPr>
            <w:tcW w:w="1301" w:type="dxa"/>
          </w:tcPr>
          <w:p w:rsidR="00C06C20" w:rsidRDefault="00C06C20" w:rsidP="000C5710">
            <w:pPr>
              <w:spacing w:after="200"/>
              <w:ind w:right="-289"/>
              <w:contextualSpacing/>
              <w:rPr>
                <w:rFonts w:ascii="Calibri" w:hAnsi="Calibri"/>
                <w:sz w:val="22"/>
                <w:szCs w:val="22"/>
                <w:lang w:val="sk-SK"/>
              </w:rPr>
            </w:pPr>
          </w:p>
        </w:tc>
      </w:tr>
      <w:tr w:rsidR="00C06C20" w:rsidTr="000C5710">
        <w:tc>
          <w:tcPr>
            <w:tcW w:w="2518"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h1.  0,0375%+  (+1,5%bon.)</w:t>
            </w:r>
          </w:p>
        </w:tc>
        <w:tc>
          <w:tcPr>
            <w:tcW w:w="1134" w:type="dxa"/>
            <w:shd w:val="clear" w:color="auto" w:fill="D9D9D9" w:themeFill="background1" w:themeFillShade="D9"/>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0,045 EUR</w:t>
            </w:r>
          </w:p>
        </w:tc>
        <w:tc>
          <w:tcPr>
            <w:tcW w:w="1418" w:type="dxa"/>
          </w:tcPr>
          <w:p w:rsidR="00C06C20" w:rsidRDefault="00C06C20" w:rsidP="000C5710">
            <w:pPr>
              <w:spacing w:after="200"/>
              <w:ind w:right="-289"/>
              <w:contextualSpacing/>
              <w:rPr>
                <w:rFonts w:ascii="Calibri" w:hAnsi="Calibri"/>
                <w:sz w:val="22"/>
                <w:szCs w:val="22"/>
                <w:lang w:val="sk-SK"/>
              </w:rPr>
            </w:pPr>
          </w:p>
        </w:tc>
        <w:tc>
          <w:tcPr>
            <w:tcW w:w="1417" w:type="dxa"/>
          </w:tcPr>
          <w:p w:rsidR="00C06C20" w:rsidRDefault="00C06C20" w:rsidP="000C5710">
            <w:pPr>
              <w:spacing w:after="200"/>
              <w:ind w:right="-289"/>
              <w:contextualSpacing/>
              <w:rPr>
                <w:rFonts w:ascii="Calibri" w:hAnsi="Calibri"/>
                <w:sz w:val="22"/>
                <w:szCs w:val="22"/>
                <w:lang w:val="sk-SK"/>
              </w:rPr>
            </w:pPr>
          </w:p>
        </w:tc>
        <w:tc>
          <w:tcPr>
            <w:tcW w:w="1418" w:type="dxa"/>
          </w:tcPr>
          <w:p w:rsidR="00C06C20" w:rsidRDefault="00C06C20" w:rsidP="000C5710">
            <w:pPr>
              <w:spacing w:after="200"/>
              <w:ind w:right="-289"/>
              <w:contextualSpacing/>
              <w:rPr>
                <w:rFonts w:ascii="Calibri" w:hAnsi="Calibri"/>
                <w:sz w:val="22"/>
                <w:szCs w:val="22"/>
                <w:lang w:val="sk-SK"/>
              </w:rPr>
            </w:pPr>
          </w:p>
        </w:tc>
        <w:tc>
          <w:tcPr>
            <w:tcW w:w="1301" w:type="dxa"/>
          </w:tcPr>
          <w:p w:rsidR="00C06C20" w:rsidRDefault="00C06C20" w:rsidP="000C5710">
            <w:pPr>
              <w:spacing w:after="200"/>
              <w:ind w:right="-289"/>
              <w:contextualSpacing/>
              <w:rPr>
                <w:rFonts w:ascii="Calibri" w:hAnsi="Calibri"/>
                <w:sz w:val="22"/>
                <w:szCs w:val="22"/>
                <w:lang w:val="sk-SK"/>
              </w:rPr>
            </w:pPr>
            <w:r>
              <w:rPr>
                <w:rFonts w:ascii="Calibri" w:hAnsi="Calibri"/>
                <w:sz w:val="22"/>
                <w:szCs w:val="22"/>
                <w:lang w:val="sk-SK"/>
              </w:rPr>
              <w:t>+225 EUR</w:t>
            </w:r>
          </w:p>
        </w:tc>
      </w:tr>
    </w:tbl>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left="720" w:right="-289"/>
        <w:contextualSpacing/>
        <w:rPr>
          <w:rFonts w:ascii="Calibri" w:hAnsi="Calibri"/>
          <w:sz w:val="22"/>
          <w:szCs w:val="22"/>
          <w:lang w:val="sk-SK"/>
        </w:rPr>
      </w:pPr>
    </w:p>
    <w:p w:rsidR="00BF1005" w:rsidRDefault="00BF1005" w:rsidP="00C06C20">
      <w:pPr>
        <w:pBdr>
          <w:bottom w:val="single" w:sz="6" w:space="1" w:color="auto"/>
        </w:pBdr>
        <w:spacing w:after="200"/>
        <w:ind w:right="-289"/>
        <w:contextualSpacing/>
        <w:rPr>
          <w:rFonts w:ascii="Calibri" w:hAnsi="Calibri"/>
          <w:sz w:val="22"/>
          <w:szCs w:val="22"/>
          <w:lang w:val="sk-SK"/>
        </w:rPr>
      </w:pPr>
    </w:p>
    <w:p w:rsidR="00C06C20" w:rsidRPr="00BF1005" w:rsidRDefault="00BF1005" w:rsidP="00C06C20">
      <w:pPr>
        <w:pBdr>
          <w:bottom w:val="single" w:sz="6" w:space="1" w:color="auto"/>
        </w:pBdr>
        <w:spacing w:after="200"/>
        <w:ind w:right="-289"/>
        <w:contextualSpacing/>
        <w:rPr>
          <w:rFonts w:ascii="Calibri" w:hAnsi="Calibri"/>
          <w:color w:val="FF0000"/>
          <w:sz w:val="22"/>
          <w:szCs w:val="22"/>
          <w:lang w:val="sk-SK"/>
        </w:rPr>
      </w:pPr>
      <w:r w:rsidRPr="00BF1005">
        <w:rPr>
          <w:rFonts w:ascii="Calibri" w:hAnsi="Calibri"/>
          <w:color w:val="FF0000"/>
          <w:sz w:val="22"/>
          <w:szCs w:val="22"/>
          <w:lang w:val="sk-SK"/>
        </w:rPr>
        <w:t>P</w:t>
      </w:r>
      <w:r w:rsidR="00C06C20" w:rsidRPr="00BF1005">
        <w:rPr>
          <w:rFonts w:ascii="Calibri" w:hAnsi="Calibri"/>
          <w:color w:val="FF0000"/>
          <w:sz w:val="22"/>
          <w:szCs w:val="22"/>
          <w:lang w:val="sk-SK"/>
        </w:rPr>
        <w:t>oznámky</w:t>
      </w:r>
      <w:r w:rsidR="003B6DFE" w:rsidRPr="00BF1005">
        <w:rPr>
          <w:rFonts w:ascii="Calibri" w:hAnsi="Calibri"/>
          <w:color w:val="FF0000"/>
          <w:sz w:val="22"/>
          <w:szCs w:val="22"/>
          <w:lang w:val="sk-SK"/>
        </w:rPr>
        <w:t xml:space="preserve"> + výklad zavedených pojmov k dispenzárnej výkonnosti</w:t>
      </w:r>
      <w:r w:rsidR="00C06C20" w:rsidRPr="00BF1005">
        <w:rPr>
          <w:rFonts w:ascii="Calibri" w:hAnsi="Calibri"/>
          <w:color w:val="FF0000"/>
          <w:sz w:val="22"/>
          <w:szCs w:val="22"/>
          <w:lang w:val="sk-SK"/>
        </w:rPr>
        <w:t>:</w:t>
      </w:r>
    </w:p>
    <w:p w:rsidR="00C06C20" w:rsidRDefault="00C06C20" w:rsidP="00C06C20">
      <w:pPr>
        <w:pBdr>
          <w:bottom w:val="single" w:sz="6" w:space="1" w:color="auto"/>
        </w:pBd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r w:rsidRPr="008C71C3">
        <w:rPr>
          <w:rFonts w:ascii="Calibri" w:hAnsi="Calibri"/>
          <w:b/>
          <w:sz w:val="22"/>
          <w:szCs w:val="22"/>
          <w:lang w:val="sk-SK"/>
        </w:rPr>
        <w:t>*zoznam výkonov</w:t>
      </w:r>
      <w:r>
        <w:rPr>
          <w:rFonts w:ascii="Calibri" w:hAnsi="Calibri"/>
          <w:sz w:val="22"/>
          <w:szCs w:val="22"/>
          <w:lang w:val="sk-SK"/>
        </w:rPr>
        <w:t xml:space="preserve"> realizovaných v ambulancii VLD musí zahŕňať také výkony, ktoré popisujú starostlivosť o chronické ochorenia a obsahovo zodpovedajú ŠDTP (štandardným diagnostickým a terapeutickým postupom) – </w:t>
      </w:r>
      <w:r w:rsidRPr="008C71C3">
        <w:rPr>
          <w:rFonts w:ascii="Calibri" w:hAnsi="Calibri"/>
          <w:b/>
          <w:sz w:val="22"/>
          <w:szCs w:val="22"/>
          <w:lang w:val="sk-SK"/>
        </w:rPr>
        <w:t>dodáme podľa existujúceho zoznamu v zmluve s VšZP</w:t>
      </w:r>
    </w:p>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r>
        <w:rPr>
          <w:rFonts w:ascii="Calibri" w:hAnsi="Calibri"/>
          <w:sz w:val="22"/>
          <w:szCs w:val="22"/>
          <w:lang w:val="sk-SK"/>
        </w:rPr>
        <w:t>Pre potreby výpočtu dispenzárnej výkonnosti sa výkony pre jednotlivé chronické ochorenia (ch.o.) budú v danom zúčtovacom období sčítavať a v prípade, že zoznam výkonov určí pre niektorý z výkonov starostlivosti o ch.o. inú, ako 1-ročnú periodicitu, bude tento výkon pred jeho započítaním do zúčtovania  násobený príslušným koeficientom (2,0 pri periodicite 2 x do roka, 3,0 pri periodicite 2 x do roka)</w:t>
      </w:r>
    </w:p>
    <w:p w:rsidR="00C06C20" w:rsidRDefault="00C06C20" w:rsidP="00C06C20">
      <w:pPr>
        <w:spacing w:after="200"/>
        <w:ind w:right="-289"/>
        <w:contextualSpacing/>
        <w:rPr>
          <w:rFonts w:ascii="Calibri" w:hAnsi="Calibri"/>
          <w:sz w:val="22"/>
          <w:szCs w:val="22"/>
          <w:lang w:val="sk-SK"/>
        </w:rPr>
      </w:pPr>
    </w:p>
    <w:p w:rsidR="00C06C20" w:rsidRDefault="00C06C20" w:rsidP="00C06C20">
      <w:pPr>
        <w:spacing w:after="200"/>
        <w:ind w:right="-289"/>
        <w:contextualSpacing/>
        <w:rPr>
          <w:rFonts w:ascii="Calibri" w:hAnsi="Calibri"/>
          <w:sz w:val="22"/>
          <w:szCs w:val="22"/>
          <w:lang w:val="sk-SK"/>
        </w:rPr>
      </w:pPr>
      <w:r w:rsidRPr="008C71C3">
        <w:rPr>
          <w:rFonts w:ascii="Calibri" w:hAnsi="Calibri"/>
          <w:b/>
          <w:sz w:val="22"/>
          <w:szCs w:val="22"/>
          <w:lang w:val="sk-SK"/>
        </w:rPr>
        <w:t>**zdroj pre epidemiologické dáta určí MZSR</w:t>
      </w:r>
      <w:r>
        <w:rPr>
          <w:rFonts w:ascii="Calibri" w:hAnsi="Calibri"/>
          <w:sz w:val="22"/>
          <w:szCs w:val="22"/>
          <w:lang w:val="sk-SK"/>
        </w:rPr>
        <w:t xml:space="preserve"> – v tejto pracovnej verzii legislatívneho návrhu počítame s nasledovným výskytom relevantných ch.o. :</w:t>
      </w:r>
    </w:p>
    <w:p w:rsidR="00C06C20" w:rsidRDefault="00C06C20" w:rsidP="00C06C20">
      <w:pPr>
        <w:pStyle w:val="Odsekzoznamu"/>
        <w:numPr>
          <w:ilvl w:val="0"/>
          <w:numId w:val="26"/>
        </w:numPr>
        <w:ind w:right="-289"/>
      </w:pPr>
      <w:r w:rsidRPr="00324856">
        <w:t>hypertenzi</w:t>
      </w:r>
      <w:r>
        <w:t>a</w:t>
      </w:r>
      <w:r w:rsidRPr="00324856">
        <w:t xml:space="preserve"> 45%</w:t>
      </w:r>
    </w:p>
    <w:p w:rsidR="00C06C20" w:rsidRDefault="00C06C20" w:rsidP="00C06C20">
      <w:pPr>
        <w:pStyle w:val="Odsekzoznamu"/>
        <w:numPr>
          <w:ilvl w:val="0"/>
          <w:numId w:val="26"/>
        </w:numPr>
        <w:ind w:right="-289"/>
      </w:pPr>
      <w:r>
        <w:t>dyslipémia 30%</w:t>
      </w:r>
    </w:p>
    <w:p w:rsidR="00C06C20" w:rsidRDefault="00C06C20" w:rsidP="00C06C20">
      <w:pPr>
        <w:pStyle w:val="Odsekzoznamu"/>
        <w:numPr>
          <w:ilvl w:val="0"/>
          <w:numId w:val="26"/>
        </w:numPr>
        <w:ind w:right="-289"/>
      </w:pPr>
      <w:r>
        <w:t>cukrovka 7% (k dnešnému dňu neexistuje v SR relevantné odborné usmernenie – ŠDTP)</w:t>
      </w:r>
    </w:p>
    <w:p w:rsidR="00C06C20" w:rsidRPr="00913552" w:rsidRDefault="00C06C20" w:rsidP="00C06C20">
      <w:pPr>
        <w:ind w:right="-289"/>
        <w:rPr>
          <w:rFonts w:ascii="Calibri" w:hAnsi="Calibri"/>
          <w:sz w:val="22"/>
          <w:szCs w:val="22"/>
        </w:rPr>
      </w:pPr>
      <w:r w:rsidRPr="00913552">
        <w:rPr>
          <w:rFonts w:ascii="Calibri" w:hAnsi="Calibri"/>
          <w:sz w:val="22"/>
          <w:szCs w:val="22"/>
        </w:rPr>
        <w:t xml:space="preserve">Celkový výskyt ch.o. </w:t>
      </w:r>
      <w:r w:rsidRPr="00913552">
        <w:rPr>
          <w:rFonts w:ascii="Calibri" w:hAnsi="Calibri"/>
          <w:sz w:val="22"/>
          <w:szCs w:val="22"/>
          <w:lang w:val="sk-SK"/>
        </w:rPr>
        <w:t>(CVch.o.) pre potreby hodnotenia dispenzárnej výkonnosti ambulancie</w:t>
      </w:r>
      <w:r w:rsidRPr="00913552">
        <w:rPr>
          <w:rFonts w:ascii="Calibri" w:hAnsi="Calibri"/>
          <w:sz w:val="22"/>
          <w:szCs w:val="22"/>
        </w:rPr>
        <w:t xml:space="preserve"> VLD je 45</w:t>
      </w:r>
      <w:r>
        <w:rPr>
          <w:rFonts w:ascii="Calibri" w:hAnsi="Calibri"/>
          <w:sz w:val="22"/>
          <w:szCs w:val="22"/>
        </w:rPr>
        <w:t>%</w:t>
      </w:r>
      <w:r w:rsidRPr="00913552">
        <w:rPr>
          <w:rFonts w:ascii="Calibri" w:hAnsi="Calibri"/>
          <w:sz w:val="22"/>
          <w:szCs w:val="22"/>
        </w:rPr>
        <w:t xml:space="preserve"> + 30</w:t>
      </w:r>
      <w:r>
        <w:rPr>
          <w:rFonts w:ascii="Calibri" w:hAnsi="Calibri"/>
          <w:sz w:val="22"/>
          <w:szCs w:val="22"/>
        </w:rPr>
        <w:t>%</w:t>
      </w:r>
      <w:r w:rsidRPr="00913552">
        <w:rPr>
          <w:rFonts w:ascii="Calibri" w:hAnsi="Calibri"/>
          <w:sz w:val="22"/>
          <w:szCs w:val="22"/>
        </w:rPr>
        <w:t xml:space="preserve"> + 7</w:t>
      </w:r>
      <w:r>
        <w:rPr>
          <w:rFonts w:ascii="Calibri" w:hAnsi="Calibri"/>
          <w:sz w:val="22"/>
          <w:szCs w:val="22"/>
        </w:rPr>
        <w:t>%</w:t>
      </w:r>
      <w:r w:rsidRPr="00913552">
        <w:rPr>
          <w:rFonts w:ascii="Calibri" w:hAnsi="Calibri"/>
          <w:sz w:val="22"/>
          <w:szCs w:val="22"/>
        </w:rPr>
        <w:t xml:space="preserve"> = 82%</w:t>
      </w:r>
    </w:p>
    <w:p w:rsidR="00C06C20" w:rsidRDefault="00C06C20" w:rsidP="00C06C20">
      <w:pPr>
        <w:spacing w:after="200"/>
        <w:ind w:right="-289"/>
        <w:contextualSpacing/>
        <w:rPr>
          <w:rFonts w:ascii="Calibri" w:hAnsi="Calibri"/>
          <w:sz w:val="22"/>
          <w:szCs w:val="22"/>
          <w:lang w:val="sk-SK"/>
        </w:rPr>
      </w:pPr>
    </w:p>
    <w:p w:rsidR="00C06C20" w:rsidRPr="0056564C" w:rsidRDefault="00C06C20" w:rsidP="00C06C20">
      <w:pPr>
        <w:spacing w:after="200"/>
        <w:ind w:right="-289"/>
        <w:contextualSpacing/>
        <w:rPr>
          <w:rFonts w:ascii="Calibri" w:hAnsi="Calibri"/>
          <w:b/>
          <w:sz w:val="22"/>
          <w:szCs w:val="22"/>
          <w:lang w:val="sk-SK"/>
        </w:rPr>
      </w:pPr>
      <w:r w:rsidRPr="0056564C">
        <w:rPr>
          <w:rFonts w:ascii="Calibri" w:hAnsi="Calibri"/>
          <w:b/>
          <w:sz w:val="22"/>
          <w:szCs w:val="22"/>
          <w:lang w:val="sk-SK"/>
        </w:rPr>
        <w:t>***Korigovaný výskyt ch.o. = CV ch.o. x 0,5 = 41%</w:t>
      </w:r>
    </w:p>
    <w:p w:rsidR="00C06C20" w:rsidRDefault="00C06C20" w:rsidP="00C06C20">
      <w:pPr>
        <w:spacing w:after="200"/>
        <w:ind w:right="-289"/>
        <w:contextualSpacing/>
        <w:rPr>
          <w:rFonts w:ascii="Calibri" w:hAnsi="Calibri"/>
          <w:sz w:val="22"/>
          <w:szCs w:val="22"/>
          <w:lang w:val="sk-SK"/>
        </w:rPr>
      </w:pPr>
    </w:p>
    <w:p w:rsidR="00C06C20" w:rsidRDefault="00C06C20" w:rsidP="00C06C20">
      <w:pPr>
        <w:pStyle w:val="Odsekzoznamu"/>
        <w:numPr>
          <w:ilvl w:val="0"/>
          <w:numId w:val="26"/>
        </w:numPr>
        <w:spacing w:line="240" w:lineRule="auto"/>
      </w:pPr>
      <w:r>
        <w:t xml:space="preserve">KVch.o. musí byť natvrdo definovaný v zákone, alebo s odkazom na podzákonnú normu v pôsobnosti MZ SR  nakoľko sa tým určuje </w:t>
      </w:r>
      <w:r w:rsidRPr="00F85162">
        <w:rPr>
          <w:b/>
          <w:color w:val="7030A0"/>
        </w:rPr>
        <w:t>jedna z rozhodujúcich premenných pre koncepciu všeobecného lekárstva na Slovensku a kompetencie odboru v kontexte systémového postavenia odboru</w:t>
      </w:r>
      <w:r>
        <w:t xml:space="preserve"> v systéme ZS v SR.</w:t>
      </w:r>
    </w:p>
    <w:p w:rsidR="00C06C20" w:rsidRDefault="00C06C20" w:rsidP="00C06C20">
      <w:pPr>
        <w:pStyle w:val="Odsekzoznamu"/>
        <w:spacing w:line="240" w:lineRule="auto"/>
        <w:ind w:left="1080"/>
      </w:pPr>
    </w:p>
    <w:p w:rsidR="00C06C20" w:rsidRDefault="00C06C20" w:rsidP="00C06C20">
      <w:pPr>
        <w:pStyle w:val="Odsekzoznamu"/>
        <w:numPr>
          <w:ilvl w:val="0"/>
          <w:numId w:val="26"/>
        </w:numPr>
        <w:spacing w:line="240" w:lineRule="auto"/>
      </w:pPr>
      <w:r>
        <w:t xml:space="preserve">politický konsenzus o určení konkrétneho čísla má vychádzať </w:t>
      </w:r>
      <w:r w:rsidRPr="00F85162">
        <w:rPr>
          <w:b/>
          <w:color w:val="7030A0"/>
        </w:rPr>
        <w:t xml:space="preserve">zo </w:t>
      </w:r>
      <w:r w:rsidRPr="008C71C3">
        <w:t xml:space="preserve">štatisticky odôvodnených </w:t>
      </w:r>
      <w:r w:rsidRPr="00F85162">
        <w:rPr>
          <w:b/>
          <w:color w:val="7030A0"/>
        </w:rPr>
        <w:t>argumentov týkajúcich sa epidemiológie chronických ochorení a trendov ich incidencie a prevalencie</w:t>
      </w:r>
      <w:r w:rsidRPr="000C24CF">
        <w:rPr>
          <w:b/>
          <w:color w:val="7030A0"/>
        </w:rPr>
        <w:t xml:space="preserve"> a požiadavky na systematickú deľbu práce medzi medicínskymi odbormi , ktorých sa starostlivosť o dané ch.o. týka</w:t>
      </w:r>
      <w:r>
        <w:t xml:space="preserve"> (na ktoré odkazuje ŠDTP)</w:t>
      </w:r>
    </w:p>
    <w:p w:rsidR="00BF1005" w:rsidRDefault="00BF1005" w:rsidP="00BF1005">
      <w:pPr>
        <w:pStyle w:val="Odsekzoznamu"/>
      </w:pPr>
    </w:p>
    <w:p w:rsidR="00C06C20" w:rsidRPr="00CE0E02" w:rsidRDefault="00C06C20" w:rsidP="00C06C20">
      <w:pPr>
        <w:ind w:right="-289"/>
        <w:rPr>
          <w:rFonts w:ascii="Calibri" w:hAnsi="Calibri"/>
          <w:b/>
          <w:color w:val="FF0000"/>
          <w:sz w:val="22"/>
          <w:szCs w:val="22"/>
          <w:lang w:val="sk-SK"/>
        </w:rPr>
      </w:pPr>
      <w:r w:rsidRPr="00CE0E02">
        <w:rPr>
          <w:rFonts w:ascii="Calibri" w:hAnsi="Calibri"/>
          <w:b/>
          <w:sz w:val="22"/>
          <w:szCs w:val="22"/>
        </w:rPr>
        <w:t xml:space="preserve">**** </w:t>
      </w:r>
      <w:r w:rsidRPr="00CE0E02">
        <w:rPr>
          <w:rFonts w:ascii="Calibri" w:hAnsi="Calibri"/>
          <w:b/>
          <w:sz w:val="22"/>
          <w:szCs w:val="22"/>
          <w:lang w:val="sk-SK"/>
        </w:rPr>
        <w:t>arbitrárne stanovená dispenzárna  výkonnosť</w:t>
      </w:r>
      <w:r w:rsidRPr="00F85162">
        <w:rPr>
          <w:rFonts w:ascii="Calibri" w:hAnsi="Calibri"/>
          <w:sz w:val="22"/>
          <w:szCs w:val="22"/>
          <w:lang w:val="sk-SK"/>
        </w:rPr>
        <w:t xml:space="preserve">  </w:t>
      </w:r>
      <w:r w:rsidRPr="00CE0E02">
        <w:rPr>
          <w:rFonts w:ascii="Calibri" w:hAnsi="Calibri"/>
          <w:b/>
          <w:color w:val="FF0000"/>
          <w:sz w:val="22"/>
          <w:szCs w:val="22"/>
          <w:lang w:val="sk-SK"/>
        </w:rPr>
        <w:t>0,6</w:t>
      </w:r>
    </w:p>
    <w:p w:rsidR="00C06C20" w:rsidRDefault="00C06C20" w:rsidP="00C06C20">
      <w:pPr>
        <w:ind w:right="-289"/>
        <w:rPr>
          <w:rFonts w:ascii="Calibri" w:hAnsi="Calibri"/>
          <w:b/>
          <w:sz w:val="22"/>
          <w:szCs w:val="22"/>
        </w:rPr>
      </w:pPr>
    </w:p>
    <w:p w:rsidR="00C06C20" w:rsidRDefault="00C06C20" w:rsidP="00C06C20">
      <w:pPr>
        <w:pStyle w:val="Odsekzoznamu"/>
        <w:numPr>
          <w:ilvl w:val="0"/>
          <w:numId w:val="26"/>
        </w:numPr>
        <w:spacing w:line="240" w:lineRule="auto"/>
      </w:pPr>
      <w:r>
        <w:t xml:space="preserve">politický konsenzus o určení konkrétneho čísla (v tomto návrhu 0,6) má vychádzať zo štatisticky odôvodnených </w:t>
      </w:r>
      <w:r w:rsidRPr="008C71C3">
        <w:rPr>
          <w:b/>
          <w:color w:val="7030A0"/>
        </w:rPr>
        <w:t>argumentov týkajúcich sa pravdepodobnosti záujmu obyvateľstva o aktívny prístup k liečbe, ku zmene životného štýlu a záujmu</w:t>
      </w:r>
      <w:r>
        <w:t xml:space="preserve"> o zdravotnú výchovu v celkovom socio-ekonomicko-kultúrnom kontexte v SR</w:t>
      </w:r>
    </w:p>
    <w:p w:rsidR="00C06C20" w:rsidRDefault="00C06C20" w:rsidP="00C06C20">
      <w:pPr>
        <w:pStyle w:val="Odsekzoznamu"/>
        <w:spacing w:line="240" w:lineRule="auto"/>
        <w:ind w:left="1080"/>
      </w:pPr>
    </w:p>
    <w:p w:rsidR="00C06C20" w:rsidRDefault="00C06C20" w:rsidP="00C06C20">
      <w:pPr>
        <w:pStyle w:val="Odsekzoznamu"/>
        <w:numPr>
          <w:ilvl w:val="0"/>
          <w:numId w:val="26"/>
        </w:numPr>
        <w:spacing w:line="240" w:lineRule="auto"/>
      </w:pPr>
      <w:r>
        <w:t xml:space="preserve">optimálna dispenzárna výkonnosť by mala byť  definovaná v zákone, </w:t>
      </w:r>
      <w:r w:rsidRPr="004A7C1A">
        <w:t xml:space="preserve">prípadne zákon určí metodické vyhodnocovanie a určovanie </w:t>
      </w:r>
      <w:r>
        <w:t xml:space="preserve">agregovaného parametra </w:t>
      </w:r>
      <w:r w:rsidRPr="004A7C1A">
        <w:t>PODVM podzákonnou normou</w:t>
      </w:r>
      <w:r>
        <w:t xml:space="preserve"> (cenové opatrenie MZSR) v pravidelných zákonom stanovených intervaloch (1 kalendárny rok)</w:t>
      </w:r>
    </w:p>
    <w:p w:rsidR="00C06C20" w:rsidRPr="00470F91" w:rsidRDefault="00C06C20" w:rsidP="00C06C20">
      <w:pPr>
        <w:rPr>
          <w:rFonts w:ascii="Calibri" w:hAnsi="Calibri"/>
          <w:sz w:val="22"/>
          <w:szCs w:val="22"/>
          <w:lang w:val="sk-SK"/>
        </w:rPr>
      </w:pPr>
    </w:p>
    <w:p w:rsidR="00C06C20" w:rsidRDefault="00C06C20" w:rsidP="00AE46E7">
      <w:pPr>
        <w:contextualSpacing/>
        <w:rPr>
          <w:rFonts w:ascii="Calibri" w:hAnsi="Calibri"/>
          <w:b/>
          <w:color w:val="FF0000"/>
          <w:sz w:val="22"/>
          <w:szCs w:val="22"/>
          <w:lang w:val="sk-SK"/>
        </w:rPr>
      </w:pPr>
    </w:p>
    <w:p w:rsidR="00AE46E7" w:rsidRDefault="00AE46E7" w:rsidP="00AE46E7">
      <w:pPr>
        <w:contextualSpacing/>
        <w:rPr>
          <w:rFonts w:ascii="Calibri" w:hAnsi="Calibri"/>
          <w:b/>
          <w:color w:val="FF0000"/>
          <w:sz w:val="22"/>
          <w:szCs w:val="22"/>
          <w:lang w:val="sk-SK"/>
        </w:rPr>
      </w:pPr>
      <w:r w:rsidRPr="00AE46E7">
        <w:rPr>
          <w:rFonts w:ascii="Calibri" w:hAnsi="Calibri"/>
          <w:b/>
          <w:color w:val="FF0000"/>
          <w:sz w:val="22"/>
          <w:szCs w:val="22"/>
          <w:lang w:val="sk-SK"/>
        </w:rPr>
        <w:t>7.3. systémová efektivita ambulancie</w:t>
      </w:r>
      <w:r w:rsidRPr="00AE46E7">
        <w:rPr>
          <w:rFonts w:ascii="Calibri" w:hAnsi="Calibri"/>
          <w:sz w:val="22"/>
          <w:szCs w:val="22"/>
          <w:lang w:val="sk-SK"/>
        </w:rPr>
        <w:t xml:space="preserve"> </w:t>
      </w:r>
      <w:r w:rsidRPr="00AE46E7">
        <w:rPr>
          <w:rFonts w:ascii="Calibri" w:hAnsi="Calibri"/>
          <w:b/>
          <w:color w:val="FF0000"/>
          <w:sz w:val="22"/>
          <w:szCs w:val="22"/>
          <w:lang w:val="sk-SK"/>
        </w:rPr>
        <w:t>= počet kapitovaných pacientov na ambulancii</w:t>
      </w:r>
    </w:p>
    <w:p w:rsidR="00B422AC" w:rsidRPr="00AE46E7" w:rsidRDefault="00B422AC" w:rsidP="00B422AC">
      <w:pPr>
        <w:contextualSpacing/>
        <w:rPr>
          <w:rFonts w:ascii="Calibri" w:hAnsi="Calibri"/>
          <w:b/>
          <w:color w:val="7030A0"/>
          <w:sz w:val="22"/>
          <w:szCs w:val="22"/>
          <w:lang w:val="sk-SK"/>
        </w:rPr>
      </w:pPr>
    </w:p>
    <w:p w:rsidR="00AE46E7" w:rsidRPr="00AE46E7" w:rsidRDefault="00AE46E7" w:rsidP="00AE46E7">
      <w:pPr>
        <w:contextualSpacing/>
        <w:rPr>
          <w:rFonts w:ascii="Calibri" w:hAnsi="Calibri"/>
          <w:sz w:val="22"/>
          <w:szCs w:val="22"/>
          <w:lang w:val="sk-SK"/>
        </w:rPr>
      </w:pPr>
      <w:r w:rsidRPr="00AE46E7">
        <w:rPr>
          <w:rFonts w:ascii="Calibri" w:hAnsi="Calibri"/>
          <w:b/>
          <w:sz w:val="22"/>
          <w:szCs w:val="22"/>
          <w:lang w:val="sk-SK"/>
        </w:rPr>
        <w:t>Bonifikáciou za výkon</w:t>
      </w:r>
      <w:r w:rsidRPr="00AE46E7">
        <w:rPr>
          <w:rFonts w:ascii="Calibri" w:hAnsi="Calibri"/>
          <w:sz w:val="22"/>
          <w:szCs w:val="22"/>
          <w:lang w:val="sk-SK"/>
        </w:rPr>
        <w:t xml:space="preserve"> považujeme za potrebné zohľadniť vo väzbe na celkovú základnú kapitačnú platbu (suma za všetky vekové kategórie) </w:t>
      </w:r>
      <w:r w:rsidRPr="00AE46E7">
        <w:rPr>
          <w:rFonts w:ascii="Calibri" w:hAnsi="Calibri"/>
          <w:b/>
          <w:sz w:val="22"/>
          <w:szCs w:val="22"/>
          <w:lang w:val="sk-SK"/>
        </w:rPr>
        <w:t>aj počet kapitovaných pacientov</w:t>
      </w:r>
      <w:r w:rsidRPr="00AE46E7">
        <w:rPr>
          <w:rFonts w:ascii="Calibri" w:hAnsi="Calibri"/>
          <w:sz w:val="22"/>
          <w:szCs w:val="22"/>
          <w:lang w:val="sk-SK"/>
        </w:rPr>
        <w:t xml:space="preserve"> na jednotlivej ambulancii VLD. </w:t>
      </w:r>
      <w:r w:rsidRPr="00AE46E7">
        <w:rPr>
          <w:rFonts w:ascii="Calibri" w:hAnsi="Calibri"/>
          <w:b/>
          <w:sz w:val="22"/>
          <w:szCs w:val="22"/>
          <w:lang w:val="sk-SK"/>
        </w:rPr>
        <w:t>Za výkon v tomto prípade považujeme vyťaženosť ambulancie</w:t>
      </w:r>
      <w:r w:rsidRPr="00AE46E7">
        <w:rPr>
          <w:rFonts w:ascii="Calibri" w:hAnsi="Calibri"/>
          <w:sz w:val="22"/>
          <w:szCs w:val="22"/>
          <w:lang w:val="sk-SK"/>
        </w:rPr>
        <w:t xml:space="preserve"> z hľadiska celkového dopytu po poskytnutí  bežnej liečebnej starostlivosti, ako aj preventívnej starostlivosti a starostlivosti o chronické ochorenia. </w:t>
      </w:r>
    </w:p>
    <w:p w:rsidR="00AE46E7" w:rsidRPr="00AE46E7" w:rsidRDefault="00AE46E7" w:rsidP="00AE46E7">
      <w:pPr>
        <w:contextualSpacing/>
        <w:rPr>
          <w:rFonts w:ascii="Calibri" w:hAnsi="Calibri"/>
          <w:sz w:val="22"/>
          <w:szCs w:val="22"/>
          <w:lang w:val="sk-SK"/>
        </w:rPr>
      </w:pPr>
    </w:p>
    <w:p w:rsidR="00AE46E7" w:rsidRPr="00AE46E7" w:rsidRDefault="00AE46E7" w:rsidP="00B422AC">
      <w:pPr>
        <w:ind w:right="-290"/>
        <w:contextualSpacing/>
        <w:rPr>
          <w:rFonts w:ascii="Calibri" w:hAnsi="Calibri"/>
          <w:sz w:val="22"/>
          <w:szCs w:val="22"/>
          <w:lang w:val="sk-SK"/>
        </w:rPr>
      </w:pPr>
      <w:r w:rsidRPr="00AE46E7">
        <w:rPr>
          <w:rFonts w:ascii="Calibri" w:hAnsi="Calibri"/>
          <w:sz w:val="22"/>
          <w:szCs w:val="22"/>
          <w:lang w:val="sk-SK"/>
        </w:rPr>
        <w:t xml:space="preserve">V prípade malých ambulancií parameter </w:t>
      </w:r>
      <w:r w:rsidRPr="00AE46E7">
        <w:rPr>
          <w:rFonts w:ascii="Calibri" w:hAnsi="Calibri"/>
          <w:b/>
          <w:sz w:val="22"/>
          <w:szCs w:val="22"/>
          <w:lang w:val="sk-SK"/>
        </w:rPr>
        <w:t>systémovej efektivity</w:t>
      </w:r>
      <w:r w:rsidRPr="00AE46E7">
        <w:rPr>
          <w:rFonts w:ascii="Calibri" w:hAnsi="Calibri"/>
          <w:sz w:val="22"/>
          <w:szCs w:val="22"/>
          <w:lang w:val="sk-SK"/>
        </w:rPr>
        <w:t xml:space="preserve"> nezvyšuje významne náklady ZP. V prípade (extrémne) veľkých ambulancií môže mať na náklady ZP neutrálny vplyv za predpokladu, že  veľké ambulanciue budú zlyhávať vo výkone prevencií a starostlivosti o chronické ochorenia.</w:t>
      </w:r>
    </w:p>
    <w:p w:rsidR="00AE46E7" w:rsidRDefault="00AE46E7" w:rsidP="00B422AC">
      <w:pPr>
        <w:ind w:right="-290"/>
        <w:contextualSpacing/>
        <w:rPr>
          <w:rFonts w:ascii="Calibri" w:hAnsi="Calibri"/>
          <w:sz w:val="22"/>
          <w:szCs w:val="22"/>
          <w:lang w:val="sk-SK"/>
        </w:rPr>
      </w:pPr>
      <w:r w:rsidRPr="00AE46E7">
        <w:rPr>
          <w:rFonts w:ascii="Calibri" w:hAnsi="Calibri"/>
          <w:sz w:val="22"/>
          <w:szCs w:val="22"/>
          <w:lang w:val="sk-SK"/>
        </w:rPr>
        <w:t>Z pohľadu poskytovateľa ZS bude tento parameter  čiastočne sanovať straty veľkých ambulancií v súvislosti so zlyhaním výkonu na preventívnych prehliadkach a v starostlivosti o chronické ochorenia.</w:t>
      </w:r>
    </w:p>
    <w:p w:rsidR="00BF1005" w:rsidRDefault="00BF1005" w:rsidP="00B422AC">
      <w:pPr>
        <w:ind w:right="-290"/>
        <w:contextualSpacing/>
        <w:rPr>
          <w:rFonts w:ascii="Calibri" w:hAnsi="Calibri"/>
          <w:sz w:val="22"/>
          <w:szCs w:val="22"/>
          <w:lang w:val="sk-SK"/>
        </w:rPr>
      </w:pPr>
    </w:p>
    <w:p w:rsidR="00B422AC" w:rsidRPr="00AE46E7" w:rsidRDefault="00B422AC" w:rsidP="00AE46E7">
      <w:pPr>
        <w:contextualSpacing/>
        <w:rPr>
          <w:rFonts w:ascii="Calibri" w:hAnsi="Calibri"/>
          <w:sz w:val="22"/>
          <w:szCs w:val="22"/>
          <w:lang w:val="sk-SK"/>
        </w:rPr>
      </w:pPr>
    </w:p>
    <w:p w:rsidR="00AE46E7" w:rsidRPr="00AE46E7" w:rsidRDefault="00213568" w:rsidP="00AE46E7">
      <w:pPr>
        <w:ind w:right="-290"/>
        <w:contextualSpacing/>
        <w:rPr>
          <w:rFonts w:ascii="Calibri" w:hAnsi="Calibri"/>
          <w:sz w:val="22"/>
          <w:szCs w:val="22"/>
        </w:rPr>
      </w:pPr>
      <w:r w:rsidRPr="00213568">
        <w:rPr>
          <w:rFonts w:ascii="Calibri" w:hAnsi="Calibri"/>
          <w:sz w:val="22"/>
          <w:szCs w:val="22"/>
        </w:rPr>
      </w:r>
      <w:r>
        <w:rPr>
          <w:rFonts w:ascii="Calibri" w:hAnsi="Calibri"/>
          <w:sz w:val="22"/>
          <w:szCs w:val="22"/>
        </w:rPr>
        <w:pict>
          <v:group id="_x0000_s2050" editas="canvas" style="width:455.85pt;height:139.35pt;mso-position-horizontal-relative:char;mso-position-vertical-relative:line" coordorigin="2362,4274" coordsize="7200,21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362;top:4274;width:7200;height:219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052" type="#_x0000_t32" style="position:absolute;left:5964;top:6210;width:47;height:0" o:connectortype="straight"/>
            <v:shapetype id="_x0000_t202" coordsize="21600,21600" o:spt="202" path="m,l,21600r21600,l21600,xe">
              <v:stroke joinstyle="miter"/>
              <v:path gradientshapeok="t" o:connecttype="rect"/>
            </v:shapetype>
            <v:shape id="_x0000_s2053" type="#_x0000_t202" style="position:absolute;left:4178;top:4274;width:3619;height:611">
              <v:textbox style="mso-next-textbox:#_x0000_s2053">
                <w:txbxContent>
                  <w:p w:rsidR="00F71CFA" w:rsidRPr="00AE46E7" w:rsidRDefault="00F71CFA" w:rsidP="00AE46E7">
                    <w:pPr>
                      <w:contextualSpacing/>
                      <w:rPr>
                        <w:rFonts w:ascii="Calibri" w:hAnsi="Calibri"/>
                        <w:sz w:val="20"/>
                        <w:szCs w:val="20"/>
                      </w:rPr>
                    </w:pPr>
                    <w:r w:rsidRPr="00AE46E7">
                      <w:rPr>
                        <w:rFonts w:ascii="Calibri" w:hAnsi="Calibri"/>
                        <w:sz w:val="20"/>
                        <w:szCs w:val="20"/>
                      </w:rPr>
                      <w:t xml:space="preserve">Príklad: </w:t>
                    </w:r>
                    <w:r w:rsidRPr="00AE46E7">
                      <w:rPr>
                        <w:rFonts w:ascii="Calibri" w:hAnsi="Calibri"/>
                        <w:b/>
                        <w:sz w:val="20"/>
                        <w:szCs w:val="20"/>
                      </w:rPr>
                      <w:t>priemerná ambulancia:</w:t>
                    </w:r>
                    <w:r w:rsidRPr="00AE46E7">
                      <w:rPr>
                        <w:rFonts w:ascii="Calibri" w:hAnsi="Calibri"/>
                        <w:sz w:val="20"/>
                        <w:szCs w:val="20"/>
                      </w:rPr>
                      <w:t xml:space="preserve"> </w:t>
                    </w:r>
                    <w:r w:rsidRPr="00AE46E7">
                      <w:rPr>
                        <w:rFonts w:ascii="Calibri" w:hAnsi="Calibri"/>
                        <w:b/>
                        <w:color w:val="FF0000"/>
                        <w:sz w:val="20"/>
                        <w:szCs w:val="20"/>
                      </w:rPr>
                      <w:t>1.500</w:t>
                    </w:r>
                    <w:r w:rsidRPr="00AE46E7">
                      <w:rPr>
                        <w:rFonts w:ascii="Calibri" w:hAnsi="Calibri"/>
                        <w:b/>
                        <w:color w:val="7030A0"/>
                        <w:sz w:val="20"/>
                        <w:szCs w:val="20"/>
                      </w:rPr>
                      <w:t xml:space="preserve"> p</w:t>
                    </w:r>
                    <w:r w:rsidRPr="00AE46E7">
                      <w:rPr>
                        <w:rFonts w:ascii="Calibri" w:hAnsi="Calibri"/>
                        <w:b/>
                        <w:color w:val="FF0000"/>
                        <w:sz w:val="20"/>
                        <w:szCs w:val="20"/>
                      </w:rPr>
                      <w:t>acientov:</w:t>
                    </w:r>
                  </w:p>
                  <w:p w:rsidR="00F71CFA" w:rsidRDefault="00F71CFA" w:rsidP="00AE46E7">
                    <w:pPr>
                      <w:contextualSpacing/>
                    </w:pPr>
                    <w:r w:rsidRPr="00AE46E7">
                      <w:rPr>
                        <w:rFonts w:ascii="Calibri" w:hAnsi="Calibri"/>
                        <w:b/>
                        <w:color w:val="C00000"/>
                        <w:sz w:val="20"/>
                        <w:szCs w:val="20"/>
                      </w:rPr>
                      <w:t>Určený interval:</w:t>
                    </w:r>
                    <w:r w:rsidRPr="00AE46E7">
                      <w:rPr>
                        <w:rFonts w:ascii="Calibri" w:hAnsi="Calibri"/>
                        <w:sz w:val="20"/>
                        <w:szCs w:val="20"/>
                      </w:rPr>
                      <w:t xml:space="preserve"> min.1pac. /max.  </w:t>
                    </w:r>
                    <w:r w:rsidRPr="00AE46E7">
                      <w:rPr>
                        <w:rFonts w:ascii="Calibri" w:hAnsi="Calibri"/>
                        <w:b/>
                        <w:sz w:val="20"/>
                        <w:szCs w:val="20"/>
                      </w:rPr>
                      <w:t>∞</w:t>
                    </w:r>
                    <w:r w:rsidRPr="002640D1">
                      <w:rPr>
                        <w:b/>
                      </w:rPr>
                      <w:t xml:space="preserve"> </w:t>
                    </w:r>
                    <w:r>
                      <w:rPr>
                        <w:b/>
                      </w:rPr>
                      <w:t xml:space="preserve"> </w:t>
                    </w:r>
                    <w:r>
                      <w:t>pac. →</w:t>
                    </w:r>
                  </w:p>
                  <w:p w:rsidR="00F71CFA" w:rsidRPr="00CD3D16" w:rsidRDefault="00F71CFA" w:rsidP="00AE46E7">
                    <w:pPr>
                      <w:contextualSpacing/>
                      <w:rPr>
                        <w:b/>
                        <w:color w:val="7030A0"/>
                      </w:rPr>
                    </w:pPr>
                    <w:r w:rsidRPr="00CD3D16">
                      <w:rPr>
                        <w:b/>
                        <w:color w:val="7030A0"/>
                      </w:rPr>
                      <w:t xml:space="preserve">       </w:t>
                    </w:r>
                    <w:r>
                      <w:rPr>
                        <w:b/>
                        <w:color w:val="7030A0"/>
                      </w:rPr>
                      <w:t xml:space="preserve">           </w:t>
                    </w:r>
                  </w:p>
                  <w:p w:rsidR="00F71CFA" w:rsidRDefault="00F71CFA" w:rsidP="00AE46E7"/>
                </w:txbxContent>
              </v:textbox>
            </v:shape>
            <v:shape id="_x0000_s2054" type="#_x0000_t202" style="position:absolute;left:7797;top:4274;width:1765;height:608">
              <v:textbox style="mso-next-textbox:#_x0000_s2054">
                <w:txbxContent>
                  <w:p w:rsidR="00F71CFA" w:rsidRPr="00AE46E7" w:rsidRDefault="00F71CFA" w:rsidP="00AE46E7">
                    <w:pPr>
                      <w:rPr>
                        <w:rFonts w:ascii="Calibri" w:hAnsi="Calibri"/>
                        <w:sz w:val="22"/>
                        <w:szCs w:val="22"/>
                      </w:rPr>
                    </w:pPr>
                    <w:r w:rsidRPr="00AE46E7">
                      <w:rPr>
                        <w:rFonts w:ascii="Calibri" w:hAnsi="Calibri"/>
                        <w:b/>
                        <w:color w:val="7030A0"/>
                        <w:sz w:val="22"/>
                        <w:szCs w:val="22"/>
                      </w:rPr>
                      <w:t>100pac. / +0,2% bod.</w:t>
                    </w:r>
                  </w:p>
                </w:txbxContent>
              </v:textbox>
            </v:shape>
            <v:shape id="_x0000_s2055" type="#_x0000_t202" style="position:absolute;left:2362;top:4274;width:1816;height:608">
              <v:textbox style="mso-next-textbox:#_x0000_s2055">
                <w:txbxContent>
                  <w:p w:rsidR="00F71CFA" w:rsidRPr="00AE46E7" w:rsidRDefault="00F71CFA" w:rsidP="00AE46E7">
                    <w:pPr>
                      <w:rPr>
                        <w:rFonts w:ascii="Calibri" w:hAnsi="Calibri"/>
                        <w:sz w:val="22"/>
                        <w:szCs w:val="22"/>
                      </w:rPr>
                    </w:pPr>
                    <w:r w:rsidRPr="00AE46E7">
                      <w:rPr>
                        <w:rFonts w:ascii="Calibri" w:hAnsi="Calibri"/>
                        <w:b/>
                        <w:color w:val="7030A0"/>
                        <w:sz w:val="22"/>
                        <w:szCs w:val="22"/>
                      </w:rPr>
                      <w:t>100pac. / -0,2%bod</w:t>
                    </w:r>
                  </w:p>
                </w:txbxContent>
              </v:textbox>
            </v:shape>
            <v:shape id="_x0000_s2056" type="#_x0000_t32" style="position:absolute;left:2427;top:4974;width:7135;height:1428;flip:y" o:connectortype="straight" strokecolor="red" strokeweight="4.5pt"/>
            <v:shape id="_x0000_s2057" type="#_x0000_t32" style="position:absolute;left:4178;top:5117;width:0;height:1226" o:connectortype="straight"/>
            <v:shape id="_x0000_s2058" type="#_x0000_t32" style="position:absolute;left:5964;top:4882;width:1;height:1225" o:connectortype="straight"/>
            <v:shape id="_x0000_s2059" type="#_x0000_t32" style="position:absolute;left:7797;top:5057;width:0;height:1286" o:connectortype="straight"/>
            <v:shape id="_x0000_s2060" type="#_x0000_t202" style="position:absolute;left:4178;top:6122;width:737;height:351" fillcolor="#e5b8b7 [1301]">
              <v:textbox style="mso-next-textbox:#_x0000_s2060">
                <w:txbxContent>
                  <w:p w:rsidR="00F71CFA" w:rsidRPr="00AE46E7" w:rsidRDefault="00F71CFA" w:rsidP="00AE46E7">
                    <w:pPr>
                      <w:rPr>
                        <w:rFonts w:ascii="Calibri" w:hAnsi="Calibri"/>
                        <w:b/>
                        <w:sz w:val="22"/>
                        <w:szCs w:val="22"/>
                      </w:rPr>
                    </w:pPr>
                    <w:r w:rsidRPr="00AE46E7">
                      <w:rPr>
                        <w:rFonts w:ascii="Calibri" w:hAnsi="Calibri"/>
                        <w:b/>
                        <w:sz w:val="22"/>
                        <w:szCs w:val="22"/>
                      </w:rPr>
                      <w:t>1500</w:t>
                    </w:r>
                  </w:p>
                </w:txbxContent>
              </v:textbox>
            </v:shape>
            <v:shape id="_x0000_s2061" type="#_x0000_t202" style="position:absolute;left:5964;top:6107;width:726;height:350" fillcolor="#e5b8b7 [1301]">
              <v:textbox style="mso-next-textbox:#_x0000_s2061">
                <w:txbxContent>
                  <w:p w:rsidR="00F71CFA" w:rsidRPr="00AE46E7" w:rsidRDefault="00F71CFA" w:rsidP="00AE46E7">
                    <w:pPr>
                      <w:rPr>
                        <w:rFonts w:ascii="Calibri" w:hAnsi="Calibri"/>
                        <w:b/>
                        <w:sz w:val="22"/>
                        <w:szCs w:val="22"/>
                      </w:rPr>
                    </w:pPr>
                    <w:r w:rsidRPr="00AE46E7">
                      <w:rPr>
                        <w:rFonts w:ascii="Calibri" w:hAnsi="Calibri"/>
                        <w:b/>
                        <w:sz w:val="22"/>
                        <w:szCs w:val="22"/>
                      </w:rPr>
                      <w:t>3000</w:t>
                    </w:r>
                  </w:p>
                </w:txbxContent>
              </v:textbox>
            </v:shape>
            <v:shape id="_x0000_s2062" type="#_x0000_t202" style="position:absolute;left:7178;top:4885;width:619;height:366" fillcolor="#e5b8b7 [1301]">
              <v:textbox style="mso-next-textbox:#_x0000_s2062">
                <w:txbxContent>
                  <w:p w:rsidR="00F71CFA" w:rsidRDefault="00F71CFA" w:rsidP="00AE46E7">
                    <w:pPr>
                      <w:rPr>
                        <w:rFonts w:ascii="Calibri" w:hAnsi="Calibri"/>
                        <w:b/>
                        <w:sz w:val="22"/>
                        <w:szCs w:val="22"/>
                      </w:rPr>
                    </w:pPr>
                    <w:r w:rsidRPr="00AE46E7">
                      <w:rPr>
                        <w:rFonts w:ascii="Calibri" w:hAnsi="Calibri"/>
                        <w:b/>
                        <w:sz w:val="22"/>
                        <w:szCs w:val="22"/>
                      </w:rPr>
                      <w:t>4500</w:t>
                    </w:r>
                  </w:p>
                  <w:p w:rsidR="00F71CFA" w:rsidRPr="001A676E" w:rsidRDefault="00F71CFA" w:rsidP="00AE46E7">
                    <w:pPr>
                      <w:rPr>
                        <w:b/>
                      </w:rPr>
                    </w:pPr>
                  </w:p>
                </w:txbxContent>
              </v:textbox>
            </v:shape>
            <v:shape id="_x0000_s2063" type="#_x0000_t202" style="position:absolute;left:2362;top:4882;width:1816;height:524">
              <v:textbox style="mso-next-textbox:#_x0000_s2063">
                <w:txbxContent>
                  <w:p w:rsidR="00F71CFA" w:rsidRPr="00AE46E7" w:rsidRDefault="00F71CFA" w:rsidP="00AE46E7">
                    <w:pPr>
                      <w:contextualSpacing/>
                      <w:rPr>
                        <w:rFonts w:ascii="Calibri" w:hAnsi="Calibri"/>
                        <w:sz w:val="22"/>
                        <w:szCs w:val="22"/>
                      </w:rPr>
                    </w:pPr>
                    <w:r w:rsidRPr="00AE46E7">
                      <w:rPr>
                        <w:rFonts w:ascii="Calibri" w:hAnsi="Calibri"/>
                        <w:b/>
                        <w:sz w:val="22"/>
                        <w:szCs w:val="22"/>
                      </w:rPr>
                      <w:t>1x3</w:t>
                    </w:r>
                    <w:r w:rsidRPr="00AE46E7">
                      <w:rPr>
                        <w:rFonts w:ascii="Calibri" w:hAnsi="Calibri"/>
                        <w:sz w:val="22"/>
                        <w:szCs w:val="22"/>
                      </w:rPr>
                      <w:t xml:space="preserve"> x (-0,002x15 + 1)</w:t>
                    </w:r>
                  </w:p>
                  <w:p w:rsidR="00F71CFA" w:rsidRPr="00AE46E7" w:rsidRDefault="00F71CFA" w:rsidP="00AE46E7">
                    <w:pPr>
                      <w:contextualSpacing/>
                      <w:rPr>
                        <w:rFonts w:ascii="Calibri" w:hAnsi="Calibri"/>
                        <w:sz w:val="22"/>
                        <w:szCs w:val="22"/>
                      </w:rPr>
                    </w:pPr>
                    <w:r w:rsidRPr="00AE46E7">
                      <w:rPr>
                        <w:rFonts w:ascii="Calibri" w:hAnsi="Calibri"/>
                        <w:sz w:val="22"/>
                        <w:szCs w:val="22"/>
                      </w:rPr>
                      <w:t xml:space="preserve">= 3 x 0,970 = </w:t>
                    </w:r>
                    <w:r w:rsidRPr="00AE46E7">
                      <w:rPr>
                        <w:rFonts w:ascii="Calibri" w:hAnsi="Calibri"/>
                        <w:b/>
                        <w:sz w:val="22"/>
                        <w:szCs w:val="22"/>
                      </w:rPr>
                      <w:t>2,91</w:t>
                    </w:r>
                  </w:p>
                </w:txbxContent>
              </v:textbox>
            </v:shape>
            <v:shape id="_x0000_s2064" type="#_x0000_t202" style="position:absolute;left:2362;top:5406;width:1816;height:560">
              <v:textbox style="mso-next-textbox:#_x0000_s2064">
                <w:txbxContent>
                  <w:p w:rsidR="00F71CFA" w:rsidRPr="00AE46E7" w:rsidRDefault="00F71CFA" w:rsidP="00AE46E7">
                    <w:pPr>
                      <w:contextualSpacing/>
                      <w:rPr>
                        <w:rFonts w:ascii="Calibri" w:hAnsi="Calibri"/>
                        <w:sz w:val="20"/>
                        <w:szCs w:val="20"/>
                      </w:rPr>
                    </w:pPr>
                    <w:r w:rsidRPr="00AE46E7">
                      <w:rPr>
                        <w:rFonts w:ascii="Calibri" w:hAnsi="Calibri"/>
                        <w:sz w:val="20"/>
                        <w:szCs w:val="20"/>
                      </w:rPr>
                      <w:t>1.127x3 x (-0,002x4 + 1)</w:t>
                    </w:r>
                  </w:p>
                  <w:p w:rsidR="00F71CFA" w:rsidRPr="00AE46E7" w:rsidRDefault="00F71CFA" w:rsidP="00AE46E7">
                    <w:pPr>
                      <w:contextualSpacing/>
                      <w:rPr>
                        <w:rFonts w:ascii="Calibri" w:hAnsi="Calibri"/>
                      </w:rPr>
                    </w:pPr>
                    <w:r w:rsidRPr="00AE46E7">
                      <w:rPr>
                        <w:rFonts w:ascii="Calibri" w:hAnsi="Calibri"/>
                        <w:sz w:val="20"/>
                        <w:szCs w:val="20"/>
                      </w:rPr>
                      <w:t>= 3.381x0,992 = 3.354</w:t>
                    </w:r>
                  </w:p>
                </w:txbxContent>
              </v:textbox>
            </v:shape>
            <v:shape id="_x0000_s2065" type="#_x0000_t202" style="position:absolute;left:7797;top:5623;width:1729;height:834">
              <v:textbox style="mso-next-textbox:#_x0000_s2065">
                <w:txbxContent>
                  <w:p w:rsidR="00F71CFA" w:rsidRPr="00AE46E7" w:rsidRDefault="00F71CFA" w:rsidP="00AE46E7">
                    <w:pPr>
                      <w:contextualSpacing/>
                      <w:rPr>
                        <w:rFonts w:ascii="Calibri" w:hAnsi="Calibri"/>
                        <w:sz w:val="20"/>
                        <w:szCs w:val="20"/>
                      </w:rPr>
                    </w:pPr>
                    <w:r w:rsidRPr="00AE46E7">
                      <w:rPr>
                        <w:rFonts w:ascii="Calibri" w:hAnsi="Calibri"/>
                        <w:sz w:val="20"/>
                        <w:szCs w:val="20"/>
                      </w:rPr>
                      <w:t>6.200x3x(0,002x47 +1)</w:t>
                    </w:r>
                  </w:p>
                  <w:p w:rsidR="00F71CFA" w:rsidRPr="00AE46E7" w:rsidRDefault="00F71CFA" w:rsidP="00AE46E7">
                    <w:pPr>
                      <w:contextualSpacing/>
                      <w:rPr>
                        <w:rFonts w:ascii="Calibri" w:hAnsi="Calibri"/>
                        <w:sz w:val="20"/>
                        <w:szCs w:val="20"/>
                      </w:rPr>
                    </w:pPr>
                    <w:r w:rsidRPr="00AE46E7">
                      <w:rPr>
                        <w:rFonts w:ascii="Calibri" w:hAnsi="Calibri"/>
                        <w:sz w:val="20"/>
                        <w:szCs w:val="20"/>
                      </w:rPr>
                      <w:t>= 18.600 x 1,094</w:t>
                    </w:r>
                  </w:p>
                  <w:p w:rsidR="00F71CFA" w:rsidRPr="00AE46E7" w:rsidRDefault="00F71CFA" w:rsidP="00AE46E7">
                    <w:pPr>
                      <w:contextualSpacing/>
                      <w:rPr>
                        <w:rFonts w:ascii="Calibri" w:hAnsi="Calibri"/>
                        <w:sz w:val="20"/>
                        <w:szCs w:val="20"/>
                      </w:rPr>
                    </w:pPr>
                    <w:r w:rsidRPr="00AE46E7">
                      <w:rPr>
                        <w:rFonts w:ascii="Calibri" w:hAnsi="Calibri"/>
                        <w:sz w:val="20"/>
                        <w:szCs w:val="20"/>
                      </w:rPr>
                      <w:t>= 20.348 EUR</w:t>
                    </w:r>
                  </w:p>
                </w:txbxContent>
              </v:textbox>
            </v:shape>
            <v:shape id="_x0000_s2066" type="#_x0000_t202" style="position:absolute;left:4186;top:4885;width:1778;height:521">
              <v:textbox style="mso-next-textbox:#_x0000_s2066">
                <w:txbxContent>
                  <w:p w:rsidR="00F71CFA" w:rsidRPr="00AE46E7" w:rsidRDefault="00F71CFA" w:rsidP="00AE46E7">
                    <w:pPr>
                      <w:contextualSpacing/>
                      <w:rPr>
                        <w:rFonts w:ascii="Calibri" w:hAnsi="Calibri"/>
                        <w:sz w:val="20"/>
                        <w:szCs w:val="20"/>
                      </w:rPr>
                    </w:pPr>
                    <w:r w:rsidRPr="00AE46E7">
                      <w:rPr>
                        <w:rFonts w:ascii="Calibri" w:hAnsi="Calibri"/>
                        <w:sz w:val="20"/>
                        <w:szCs w:val="20"/>
                      </w:rPr>
                      <w:t>2.287x3 x (0,002x8 +1)</w:t>
                    </w:r>
                  </w:p>
                  <w:p w:rsidR="00F71CFA" w:rsidRPr="00AE46E7" w:rsidRDefault="00F71CFA" w:rsidP="00AE46E7">
                    <w:pPr>
                      <w:contextualSpacing/>
                      <w:rPr>
                        <w:rFonts w:ascii="Calibri" w:hAnsi="Calibri"/>
                        <w:sz w:val="20"/>
                        <w:szCs w:val="20"/>
                      </w:rPr>
                    </w:pPr>
                    <w:r w:rsidRPr="00AE46E7">
                      <w:rPr>
                        <w:rFonts w:ascii="Calibri" w:hAnsi="Calibri"/>
                        <w:sz w:val="20"/>
                        <w:szCs w:val="20"/>
                      </w:rPr>
                      <w:t xml:space="preserve">= 6.861 x 1,016 = 6.971 </w:t>
                    </w:r>
                  </w:p>
                </w:txbxContent>
              </v:textbox>
            </v:shape>
            <w10:wrap type="none"/>
            <w10:anchorlock/>
          </v:group>
        </w:pict>
      </w:r>
    </w:p>
    <w:p w:rsidR="00AE46E7" w:rsidRPr="00AE46E7" w:rsidRDefault="00AE46E7" w:rsidP="00AE46E7">
      <w:pPr>
        <w:contextualSpacing/>
        <w:rPr>
          <w:rFonts w:ascii="Calibri" w:hAnsi="Calibri"/>
          <w:sz w:val="22"/>
          <w:szCs w:val="22"/>
        </w:rPr>
      </w:pPr>
    </w:p>
    <w:p w:rsidR="00BF1005" w:rsidRDefault="00BF1005" w:rsidP="00B422AC">
      <w:pPr>
        <w:ind w:right="-290"/>
        <w:contextualSpacing/>
        <w:rPr>
          <w:rFonts w:ascii="Calibri" w:hAnsi="Calibri"/>
          <w:sz w:val="22"/>
          <w:szCs w:val="22"/>
          <w:lang w:val="sk-SK"/>
        </w:rPr>
      </w:pPr>
    </w:p>
    <w:p w:rsidR="00AE46E7" w:rsidRDefault="00AE46E7" w:rsidP="00B422AC">
      <w:pPr>
        <w:ind w:right="-290"/>
        <w:contextualSpacing/>
        <w:rPr>
          <w:rFonts w:ascii="Calibri" w:hAnsi="Calibri"/>
          <w:sz w:val="22"/>
          <w:szCs w:val="22"/>
          <w:lang w:val="sk-SK"/>
        </w:rPr>
      </w:pPr>
      <w:r w:rsidRPr="00B422AC">
        <w:rPr>
          <w:rFonts w:ascii="Calibri" w:hAnsi="Calibri"/>
          <w:sz w:val="22"/>
          <w:szCs w:val="22"/>
          <w:lang w:val="sk-SK"/>
        </w:rPr>
        <w:t xml:space="preserve">Z hľadiska transparentnosti navrhujeme arbitrárne stanoviť ako neutrálnu hladinu </w:t>
      </w:r>
      <w:r w:rsidRPr="00B422AC">
        <w:rPr>
          <w:rFonts w:ascii="Calibri" w:hAnsi="Calibri"/>
          <w:b/>
          <w:bCs/>
          <w:sz w:val="22"/>
          <w:szCs w:val="22"/>
          <w:lang w:val="sk-SK"/>
        </w:rPr>
        <w:t>1500</w:t>
      </w:r>
      <w:r w:rsidRPr="00B422AC">
        <w:rPr>
          <w:rFonts w:ascii="Calibri" w:hAnsi="Calibri"/>
          <w:sz w:val="22"/>
          <w:szCs w:val="22"/>
          <w:lang w:val="sk-SK"/>
        </w:rPr>
        <w:t xml:space="preserve"> kapitovaných pacientov, pričom na každých začatých </w:t>
      </w:r>
      <w:r w:rsidRPr="00B422AC">
        <w:rPr>
          <w:rFonts w:ascii="Calibri" w:hAnsi="Calibri"/>
          <w:b/>
          <w:bCs/>
          <w:sz w:val="22"/>
          <w:szCs w:val="22"/>
          <w:lang w:val="sk-SK"/>
        </w:rPr>
        <w:t xml:space="preserve">100 pac. </w:t>
      </w:r>
      <w:r w:rsidRPr="00B422AC">
        <w:rPr>
          <w:rFonts w:ascii="Calibri" w:hAnsi="Calibri"/>
          <w:sz w:val="22"/>
          <w:szCs w:val="22"/>
          <w:lang w:val="sk-SK"/>
        </w:rPr>
        <w:t>počínajúc počtom pacientov 1.501 sa bude vzťahovať</w:t>
      </w:r>
      <w:r w:rsidRPr="00B422AC">
        <w:rPr>
          <w:rFonts w:ascii="Calibri" w:hAnsi="Calibri"/>
          <w:b/>
          <w:bCs/>
          <w:sz w:val="22"/>
          <w:szCs w:val="22"/>
          <w:lang w:val="sk-SK"/>
        </w:rPr>
        <w:t xml:space="preserve"> arbitrárne stanovený násobok 0,2% </w:t>
      </w:r>
      <w:r w:rsidRPr="00B422AC">
        <w:rPr>
          <w:rFonts w:ascii="Calibri" w:hAnsi="Calibri"/>
          <w:sz w:val="22"/>
          <w:szCs w:val="22"/>
          <w:lang w:val="sk-SK"/>
        </w:rPr>
        <w:t xml:space="preserve">základnej kapitácie, vypočítaný ako súčin čisla 0,002 a rozdielu skutočného kapitačného stavu a čísla 1500 vydeleného číslom 100, pričom rozdiel skutočného kapitačného stavu a čísla 1500 sa pred delením číslom 100 zaokrúhli nadol na celé násobky čísla 100. </w:t>
      </w:r>
    </w:p>
    <w:p w:rsidR="00B422AC" w:rsidRPr="00B422AC" w:rsidRDefault="00B422AC" w:rsidP="00B422AC">
      <w:pPr>
        <w:ind w:right="-290"/>
        <w:contextualSpacing/>
        <w:rPr>
          <w:rFonts w:ascii="Calibri" w:hAnsi="Calibri"/>
          <w:sz w:val="22"/>
          <w:szCs w:val="22"/>
          <w:lang w:val="sk-SK"/>
        </w:rPr>
      </w:pPr>
    </w:p>
    <w:p w:rsidR="00AE46E7" w:rsidRDefault="00B422AC" w:rsidP="00AE46E7">
      <w:pPr>
        <w:contextualSpacing/>
      </w:pPr>
      <w:r w:rsidRPr="00FD3CD1">
        <w:object w:dxaOrig="7216" w:dyaOrig="5407">
          <v:shape id="_x0000_i1026" type="#_x0000_t75" style="width:372pt;height:279pt" o:ole="">
            <v:imagedata r:id="rId14" o:title=""/>
          </v:shape>
          <o:OLEObject Type="Embed" ProgID="PowerPoint.Slide.12" ShapeID="_x0000_i1026" DrawAspect="Content" ObjectID="_1631282246" r:id="rId15"/>
        </w:object>
      </w:r>
    </w:p>
    <w:p w:rsidR="00BF1005" w:rsidRDefault="00BF1005" w:rsidP="002E5042">
      <w:pPr>
        <w:contextualSpacing/>
        <w:rPr>
          <w:rFonts w:ascii="Calibri" w:hAnsi="Calibri"/>
          <w:b/>
          <w:color w:val="FF0000"/>
          <w:sz w:val="22"/>
          <w:szCs w:val="22"/>
          <w:lang w:val="sk-SK"/>
        </w:rPr>
      </w:pPr>
    </w:p>
    <w:p w:rsidR="00BF1005" w:rsidRDefault="00BF1005" w:rsidP="002E5042">
      <w:pPr>
        <w:contextualSpacing/>
        <w:rPr>
          <w:rFonts w:ascii="Calibri" w:hAnsi="Calibri"/>
          <w:b/>
          <w:color w:val="FF0000"/>
          <w:sz w:val="22"/>
          <w:szCs w:val="22"/>
          <w:lang w:val="sk-SK"/>
        </w:rPr>
      </w:pPr>
    </w:p>
    <w:p w:rsidR="00BF1005" w:rsidRDefault="00BF1005" w:rsidP="002E5042">
      <w:pPr>
        <w:contextualSpacing/>
        <w:rPr>
          <w:rFonts w:ascii="Calibri" w:hAnsi="Calibri"/>
          <w:b/>
          <w:color w:val="FF0000"/>
          <w:sz w:val="22"/>
          <w:szCs w:val="22"/>
          <w:lang w:val="sk-SK"/>
        </w:rPr>
      </w:pPr>
    </w:p>
    <w:p w:rsidR="002E5042" w:rsidRPr="00BF1005" w:rsidRDefault="002E5042" w:rsidP="002E5042">
      <w:pPr>
        <w:contextualSpacing/>
        <w:rPr>
          <w:rFonts w:ascii="Arial" w:hAnsi="Arial" w:cs="Arial"/>
          <w:color w:val="FF0000"/>
          <w:sz w:val="22"/>
          <w:szCs w:val="22"/>
          <w:lang w:val="sk-SK"/>
        </w:rPr>
      </w:pPr>
      <w:r w:rsidRPr="00BF1005">
        <w:rPr>
          <w:rFonts w:ascii="Arial" w:hAnsi="Arial" w:cs="Arial"/>
          <w:b/>
          <w:color w:val="FF0000"/>
          <w:sz w:val="22"/>
          <w:szCs w:val="22"/>
          <w:lang w:val="sk-SK"/>
        </w:rPr>
        <w:t>7.4. malus za krátenie zákonom stanoveného času ordinačných hodín</w:t>
      </w:r>
      <w:r w:rsidRPr="00BF1005">
        <w:rPr>
          <w:rFonts w:ascii="Arial" w:hAnsi="Arial" w:cs="Arial"/>
          <w:color w:val="FF0000"/>
          <w:sz w:val="22"/>
          <w:szCs w:val="22"/>
          <w:lang w:val="sk-SK"/>
        </w:rPr>
        <w:t xml:space="preserve"> </w:t>
      </w:r>
    </w:p>
    <w:p w:rsidR="002E5042" w:rsidRPr="00706821" w:rsidRDefault="002E5042" w:rsidP="002E5042">
      <w:pPr>
        <w:contextualSpacing/>
        <w:rPr>
          <w:rFonts w:ascii="Calibri" w:hAnsi="Calibri"/>
          <w:color w:val="FF0000"/>
          <w:sz w:val="22"/>
          <w:szCs w:val="22"/>
          <w:lang w:val="sk-SK"/>
        </w:rPr>
      </w:pPr>
    </w:p>
    <w:p w:rsidR="002E5042" w:rsidRPr="002E5042" w:rsidRDefault="00F62F75" w:rsidP="002E5042">
      <w:pPr>
        <w:contextualSpacing/>
        <w:rPr>
          <w:rFonts w:ascii="Calibri" w:hAnsi="Calibri"/>
          <w:sz w:val="22"/>
          <w:szCs w:val="22"/>
          <w:lang w:val="sk-SK"/>
        </w:rPr>
      </w:pPr>
      <w:r>
        <w:rPr>
          <w:rFonts w:ascii="Calibri" w:hAnsi="Calibri"/>
          <w:sz w:val="22"/>
          <w:szCs w:val="22"/>
          <w:lang w:val="sk-SK"/>
        </w:rPr>
        <w:t xml:space="preserve">Malus za krátenie zákonom </w:t>
      </w:r>
      <w:r w:rsidRPr="00F62F75">
        <w:rPr>
          <w:rFonts w:ascii="Calibri" w:hAnsi="Calibri"/>
          <w:sz w:val="22"/>
          <w:szCs w:val="22"/>
          <w:lang w:val="sk-SK"/>
        </w:rPr>
        <w:t>stanoveného času ordinačných hodín</w:t>
      </w:r>
      <w:r>
        <w:rPr>
          <w:rFonts w:ascii="Calibri" w:hAnsi="Calibri"/>
          <w:sz w:val="22"/>
          <w:szCs w:val="22"/>
          <w:lang w:val="sk-SK"/>
        </w:rPr>
        <w:t xml:space="preserve"> p</w:t>
      </w:r>
      <w:r w:rsidR="002E5042" w:rsidRPr="002E5042">
        <w:rPr>
          <w:rFonts w:ascii="Calibri" w:hAnsi="Calibri"/>
          <w:sz w:val="22"/>
          <w:szCs w:val="22"/>
          <w:lang w:val="sk-SK"/>
        </w:rPr>
        <w:t xml:space="preserve">ovažujeme za potrebný korekčný parameter K-V platby dovtedy, kým bude v platnosti ustanovenie </w:t>
      </w:r>
      <w:r w:rsidR="002E5042" w:rsidRPr="002E5042">
        <w:rPr>
          <w:rFonts w:ascii="Calibri" w:hAnsi="Calibri"/>
          <w:b/>
          <w:bCs/>
          <w:sz w:val="22"/>
          <w:szCs w:val="22"/>
          <w:lang w:val="sk-SK"/>
        </w:rPr>
        <w:t xml:space="preserve">§79, ods.1 písm. aj) zákona 578/2004 z.z. </w:t>
      </w:r>
      <w:r w:rsidR="002E5042" w:rsidRPr="002E5042">
        <w:rPr>
          <w:rFonts w:ascii="Calibri" w:hAnsi="Calibri"/>
          <w:sz w:val="22"/>
          <w:szCs w:val="22"/>
          <w:lang w:val="sk-SK"/>
        </w:rPr>
        <w:t>„ak samosprávny kraj neschválil poskytovateľovi, ktorý poskytuje všeobecnú zdravotnú starostlivosť ordinačné hodiny v menšom rozsahu“.</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F62F75">
        <w:rPr>
          <w:rFonts w:ascii="Calibri" w:hAnsi="Calibri"/>
          <w:b/>
          <w:sz w:val="22"/>
          <w:szCs w:val="22"/>
          <w:lang w:val="sk-SK"/>
        </w:rPr>
        <w:t>Výšku malusu (záporného bonusu)</w:t>
      </w:r>
      <w:r w:rsidRPr="002E5042">
        <w:rPr>
          <w:rFonts w:ascii="Calibri" w:hAnsi="Calibri"/>
          <w:sz w:val="22"/>
          <w:szCs w:val="22"/>
          <w:lang w:val="sk-SK"/>
        </w:rPr>
        <w:t xml:space="preserve"> navrhujeme stanoviť v závislosti na určení ceny základnej kapitácie, a to </w:t>
      </w:r>
      <w:r w:rsidRPr="00F62F75">
        <w:rPr>
          <w:rFonts w:ascii="Calibri" w:hAnsi="Calibri"/>
          <w:b/>
          <w:sz w:val="22"/>
          <w:szCs w:val="22"/>
          <w:lang w:val="sk-SK"/>
        </w:rPr>
        <w:t>ako záporný 0,25-násobok</w:t>
      </w:r>
      <w:r w:rsidRPr="002E5042">
        <w:rPr>
          <w:rFonts w:ascii="Calibri" w:hAnsi="Calibri"/>
          <w:sz w:val="22"/>
          <w:szCs w:val="22"/>
          <w:lang w:val="sk-SK"/>
        </w:rPr>
        <w:t xml:space="preserve"> výšky základnej kapitácie (napr.</w:t>
      </w:r>
      <w:r w:rsidR="00F62F75">
        <w:rPr>
          <w:rFonts w:ascii="Calibri" w:hAnsi="Calibri"/>
          <w:sz w:val="22"/>
          <w:szCs w:val="22"/>
          <w:lang w:val="sk-SK"/>
        </w:rPr>
        <w:t xml:space="preserve"> </w:t>
      </w:r>
      <w:r w:rsidRPr="002E5042">
        <w:rPr>
          <w:rFonts w:ascii="Calibri" w:hAnsi="Calibri"/>
          <w:sz w:val="22"/>
          <w:szCs w:val="22"/>
          <w:lang w:val="sk-SK"/>
        </w:rPr>
        <w:t>-0,75</w:t>
      </w:r>
      <w:r w:rsidR="00F62F75">
        <w:rPr>
          <w:rFonts w:ascii="Calibri" w:hAnsi="Calibri"/>
          <w:sz w:val="22"/>
          <w:szCs w:val="22"/>
          <w:lang w:val="sk-SK"/>
        </w:rPr>
        <w:t xml:space="preserve"> </w:t>
      </w:r>
      <w:r w:rsidRPr="002E5042">
        <w:rPr>
          <w:rFonts w:ascii="Calibri" w:hAnsi="Calibri"/>
          <w:sz w:val="22"/>
          <w:szCs w:val="22"/>
          <w:lang w:val="sk-SK"/>
        </w:rPr>
        <w:t>EUR pri zákl</w:t>
      </w:r>
      <w:r w:rsidR="00F62F75">
        <w:rPr>
          <w:rFonts w:ascii="Calibri" w:hAnsi="Calibri"/>
          <w:sz w:val="22"/>
          <w:szCs w:val="22"/>
          <w:lang w:val="sk-SK"/>
        </w:rPr>
        <w:t xml:space="preserve">adnej </w:t>
      </w:r>
      <w:r w:rsidRPr="002E5042">
        <w:rPr>
          <w:rFonts w:ascii="Calibri" w:hAnsi="Calibri"/>
          <w:sz w:val="22"/>
          <w:szCs w:val="22"/>
          <w:lang w:val="sk-SK"/>
        </w:rPr>
        <w:t>kapitácii 3,-EUR).</w:t>
      </w: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Pr="00BF1005" w:rsidRDefault="002E5042" w:rsidP="002E5042">
      <w:pPr>
        <w:contextualSpacing/>
        <w:rPr>
          <w:rFonts w:ascii="Arial" w:hAnsi="Arial" w:cs="Arial"/>
          <w:b/>
          <w:bCs/>
          <w:color w:val="FF0000"/>
          <w:sz w:val="22"/>
          <w:szCs w:val="22"/>
          <w:lang w:val="sk-SK"/>
        </w:rPr>
      </w:pPr>
      <w:r w:rsidRPr="00BF1005">
        <w:rPr>
          <w:rFonts w:ascii="Arial" w:hAnsi="Arial" w:cs="Arial"/>
          <w:b/>
          <w:color w:val="FF0000"/>
          <w:sz w:val="22"/>
          <w:szCs w:val="22"/>
          <w:lang w:val="sk-SK"/>
        </w:rPr>
        <w:t xml:space="preserve">7.5 </w:t>
      </w:r>
      <w:r w:rsidRPr="00BF1005">
        <w:rPr>
          <w:rFonts w:ascii="Arial" w:hAnsi="Arial" w:cs="Arial"/>
          <w:b/>
          <w:bCs/>
          <w:color w:val="FF0000"/>
          <w:sz w:val="22"/>
          <w:szCs w:val="22"/>
          <w:lang w:val="sk-SK"/>
        </w:rPr>
        <w:t>bonus za integráciu am</w:t>
      </w:r>
      <w:r w:rsidR="004C4ADF" w:rsidRPr="00BF1005">
        <w:rPr>
          <w:rFonts w:ascii="Arial" w:hAnsi="Arial" w:cs="Arial"/>
          <w:b/>
          <w:bCs/>
          <w:color w:val="FF0000"/>
          <w:sz w:val="22"/>
          <w:szCs w:val="22"/>
          <w:lang w:val="sk-SK"/>
        </w:rPr>
        <w:t>b</w:t>
      </w:r>
      <w:r w:rsidRPr="00BF1005">
        <w:rPr>
          <w:rFonts w:ascii="Arial" w:hAnsi="Arial" w:cs="Arial"/>
          <w:b/>
          <w:bCs/>
          <w:color w:val="FF0000"/>
          <w:sz w:val="22"/>
          <w:szCs w:val="22"/>
          <w:lang w:val="sk-SK"/>
        </w:rPr>
        <w:t xml:space="preserve">ulancie VLD </w:t>
      </w:r>
    </w:p>
    <w:p w:rsidR="00F62F75" w:rsidRDefault="00F62F75" w:rsidP="002E5042">
      <w:pPr>
        <w:contextualSpacing/>
        <w:rPr>
          <w:rFonts w:ascii="Calibri" w:hAnsi="Calibri"/>
          <w:b/>
          <w:bCs/>
          <w:sz w:val="22"/>
          <w:szCs w:val="22"/>
          <w:lang w:val="sk-SK"/>
        </w:rPr>
      </w:pPr>
    </w:p>
    <w:p w:rsidR="002E5042" w:rsidRPr="002E5042" w:rsidRDefault="002407B4" w:rsidP="002E5042">
      <w:pPr>
        <w:contextualSpacing/>
        <w:rPr>
          <w:rFonts w:ascii="Calibri" w:hAnsi="Calibri"/>
          <w:sz w:val="22"/>
          <w:szCs w:val="22"/>
          <w:lang w:val="sk-SK"/>
        </w:rPr>
      </w:pPr>
      <w:r w:rsidRPr="002407B4">
        <w:rPr>
          <w:rFonts w:ascii="Calibri" w:hAnsi="Calibri"/>
          <w:bCs/>
          <w:sz w:val="22"/>
          <w:szCs w:val="22"/>
          <w:lang w:val="sk-SK"/>
        </w:rPr>
        <w:t>Bonus za integráciu amulancie VLD</w:t>
      </w:r>
      <w:r w:rsidRPr="002E5042">
        <w:rPr>
          <w:rFonts w:ascii="Calibri" w:hAnsi="Calibri"/>
          <w:b/>
          <w:bCs/>
          <w:sz w:val="22"/>
          <w:szCs w:val="22"/>
          <w:lang w:val="sk-SK"/>
        </w:rPr>
        <w:t xml:space="preserve"> </w:t>
      </w:r>
      <w:r w:rsidR="002E5042" w:rsidRPr="002E5042">
        <w:rPr>
          <w:rFonts w:ascii="Calibri" w:hAnsi="Calibri"/>
          <w:bCs/>
          <w:sz w:val="22"/>
          <w:szCs w:val="22"/>
          <w:lang w:val="sk-SK"/>
        </w:rPr>
        <w:t xml:space="preserve">navrhujeme ako </w:t>
      </w:r>
      <w:r w:rsidR="002E5042" w:rsidRPr="002E5042">
        <w:rPr>
          <w:rFonts w:ascii="Calibri" w:hAnsi="Calibri"/>
          <w:sz w:val="22"/>
          <w:szCs w:val="22"/>
          <w:lang w:val="sk-SK"/>
        </w:rPr>
        <w:t xml:space="preserve">bonifikáciou vo väzbe na počet kapitantov u poskytovateľa, ktorý organizuje poskytovanie ZS na ambulancii efektívnejšie s využitím viacerých lekárskych a sesterských pracovných úväzkov integrovaných na priestorovo (interiérovo) primerane adaptovanej ambulancii. </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Vyššia efektivita integrovanej</w:t>
      </w:r>
      <w:r w:rsidRPr="002E5042">
        <w:rPr>
          <w:rFonts w:ascii="Calibri" w:hAnsi="Calibri"/>
          <w:sz w:val="22"/>
          <w:szCs w:val="22"/>
          <w:lang w:val="sk-SK"/>
        </w:rPr>
        <w:t xml:space="preserve"> ambulancie má byť preukázateľná vyšším objemom realizovaných výkonov,  lepšou dostupnosťou ZS meranou dobou čakania na vyšetrenie a systémovou efektivitou ambulancie meranou počtom kapitovaných pacientov. Z hľadiska poskytovateľa pôsobia všetky uvedené premenné (objem výkonov, dostupnosť, vyšší počet kapitovaných pacientov) synergicky s bonusom za integráciu na zvyšovanie celkových príjmov z úhrad zdravotných poisťovní za poskytovanú ZS. </w:t>
      </w:r>
    </w:p>
    <w:p w:rsidR="002E5042" w:rsidRPr="002E5042" w:rsidRDefault="002E5042" w:rsidP="002E5042">
      <w:pPr>
        <w:contextualSpacing/>
        <w:rPr>
          <w:rFonts w:ascii="Calibri" w:hAnsi="Calibri"/>
          <w:b/>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Z hľadiska verejného záujmu</w:t>
      </w:r>
      <w:r w:rsidRPr="002E5042">
        <w:rPr>
          <w:rFonts w:ascii="Calibri" w:hAnsi="Calibri"/>
          <w:sz w:val="22"/>
          <w:szCs w:val="22"/>
          <w:lang w:val="sk-SK"/>
        </w:rPr>
        <w:t xml:space="preserve"> sa integrácia pracovných úväzkov zdravotníckych pracovníkov pod organizačnú pôsobnosť jednotlivého poskytovateľa všeobecnej ambulantnej ZS prejaví stabilizačne na plynulosť poskytovania  ZS a poskytovateľovi umožňuje lepšie krátkodobé, strednodobé aj dlhodobé plánovanie personálnych kapacít aj s presahom na generačnú výmenu personálu a kontinuálne vzdelávanie.</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object w:dxaOrig="7216" w:dyaOrig="5407">
          <v:shape id="_x0000_i1027" type="#_x0000_t75" style="width:309.75pt;height:232.5pt" o:ole="">
            <v:imagedata r:id="rId16" o:title=""/>
          </v:shape>
          <o:OLEObject Type="Embed" ProgID="PowerPoint.Slide.12" ShapeID="_x0000_i1027" DrawAspect="Content" ObjectID="_1631282247" r:id="rId17"/>
        </w:objec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Výška bonusu sa určí arbitrárne, napríklad ako % z priemernej mzdy v NH dosiahnutej v predošlom roku.</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7.5.1/</w:t>
      </w:r>
      <w:r w:rsidRPr="002E5042">
        <w:rPr>
          <w:rFonts w:ascii="Calibri" w:hAnsi="Calibri"/>
          <w:sz w:val="22"/>
          <w:szCs w:val="22"/>
          <w:lang w:val="sk-SK"/>
        </w:rPr>
        <w:t xml:space="preserve"> </w:t>
      </w:r>
      <w:r w:rsidRPr="002E5042">
        <w:rPr>
          <w:rFonts w:ascii="Calibri" w:hAnsi="Calibri"/>
          <w:b/>
          <w:bCs/>
          <w:sz w:val="22"/>
          <w:szCs w:val="22"/>
          <w:lang w:val="sk-SK"/>
        </w:rPr>
        <w:t>0,20 EUR</w:t>
      </w:r>
      <w:r w:rsidRPr="002E5042">
        <w:rPr>
          <w:rFonts w:ascii="Calibri" w:hAnsi="Calibri"/>
          <w:sz w:val="22"/>
          <w:szCs w:val="22"/>
          <w:lang w:val="sk-SK"/>
        </w:rPr>
        <w:t xml:space="preserve"> k základnej kapitácii </w:t>
      </w:r>
      <w:r w:rsidRPr="002E5042">
        <w:rPr>
          <w:rFonts w:ascii="Calibri" w:hAnsi="Calibri"/>
          <w:b/>
          <w:sz w:val="22"/>
          <w:szCs w:val="22"/>
          <w:lang w:val="sk-SK"/>
        </w:rPr>
        <w:t>pri plnení požiadavky 2,0 a viac sestier</w:t>
      </w:r>
      <w:r w:rsidRPr="002E5042">
        <w:rPr>
          <w:rFonts w:ascii="Calibri" w:hAnsi="Calibri"/>
          <w:sz w:val="22"/>
          <w:szCs w:val="22"/>
          <w:lang w:val="sk-SK"/>
        </w:rPr>
        <w:t xml:space="preserve"> na ambulanciu VLD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celková výška nárokovateľnej bonusovej platby sa vypočíta ako násobok bonusu rovnajúci sa počtu kapitantov, pričom ako súčiniteľ sa použije počet kapitovaných pacientov so zohľadnením intervalu kapitovaných pacientov príslušného pre konkrétny arbitrárne stanovený počet sestier:  od 1.500 až po 3.000 pre 2,0 pracovné úväzky sestry, od 2.000 do 4.500 pre 3,0 sestry, od 3.000 do 6.000 pre 4,0 sestry...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7.5.2/</w:t>
      </w:r>
      <w:r w:rsidRPr="002E5042">
        <w:rPr>
          <w:rFonts w:ascii="Calibri" w:hAnsi="Calibri"/>
          <w:sz w:val="22"/>
          <w:szCs w:val="22"/>
          <w:lang w:val="sk-SK"/>
        </w:rPr>
        <w:t xml:space="preserve"> </w:t>
      </w:r>
      <w:r w:rsidRPr="002E5042">
        <w:rPr>
          <w:rFonts w:ascii="Calibri" w:hAnsi="Calibri"/>
          <w:b/>
          <w:bCs/>
          <w:sz w:val="22"/>
          <w:szCs w:val="22"/>
          <w:lang w:val="sk-SK"/>
        </w:rPr>
        <w:t xml:space="preserve">0,50 EUR </w:t>
      </w:r>
      <w:r w:rsidRPr="002E5042">
        <w:rPr>
          <w:rFonts w:ascii="Calibri" w:hAnsi="Calibri"/>
          <w:sz w:val="22"/>
          <w:szCs w:val="22"/>
          <w:lang w:val="sk-SK"/>
        </w:rPr>
        <w:t xml:space="preserve">k základnej kapitácii </w:t>
      </w:r>
      <w:r w:rsidRPr="002E5042">
        <w:rPr>
          <w:rFonts w:ascii="Calibri" w:hAnsi="Calibri"/>
          <w:b/>
          <w:sz w:val="22"/>
          <w:szCs w:val="22"/>
          <w:lang w:val="sk-SK"/>
        </w:rPr>
        <w:t>pri plnení požiadavky 2,0 a viac LM</w:t>
      </w:r>
      <w:r w:rsidRPr="002E5042">
        <w:rPr>
          <w:rFonts w:ascii="Calibri" w:hAnsi="Calibri"/>
          <w:sz w:val="22"/>
          <w:szCs w:val="22"/>
          <w:lang w:val="sk-SK"/>
        </w:rPr>
        <w:t xml:space="preserve"> na ambulancii VLD,                  a súčasne požiadavky na najmenej rovnaký počet sestier, vypočítaný ako:</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násobok bonusu, pričom ako súčiniteľ sa vo výpočte použije počet kapitantov, a to od súčiniteľa 2.000 až po súčiniteľ  4.000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od súčiniteľa 4.001</w:t>
      </w:r>
      <w:r w:rsidRPr="002E5042">
        <w:rPr>
          <w:rFonts w:ascii="Calibri" w:hAnsi="Calibri"/>
          <w:sz w:val="22"/>
          <w:szCs w:val="22"/>
          <w:lang w:val="sk-SK"/>
        </w:rPr>
        <w:t xml:space="preserve"> sa výška bonusu mení na  </w:t>
      </w:r>
      <w:r w:rsidRPr="002E5042">
        <w:rPr>
          <w:rFonts w:ascii="Calibri" w:hAnsi="Calibri"/>
          <w:b/>
          <w:bCs/>
          <w:sz w:val="22"/>
          <w:szCs w:val="22"/>
          <w:lang w:val="sk-SK"/>
        </w:rPr>
        <w:t xml:space="preserve">0,65 EUR </w:t>
      </w:r>
      <w:r w:rsidRPr="002E5042">
        <w:rPr>
          <w:rFonts w:ascii="Calibri" w:hAnsi="Calibri"/>
          <w:sz w:val="22"/>
          <w:szCs w:val="22"/>
          <w:lang w:val="sk-SK"/>
        </w:rPr>
        <w:t xml:space="preserve">a vypočítaná suma bonusu za integráciu je ohraničená  sumou rovnajúcou sa CCP lekára podľa §80a zák.578/2004 z.z. </w:t>
      </w:r>
    </w:p>
    <w:p w:rsidR="002407B4" w:rsidRDefault="002407B4" w:rsidP="002E5042">
      <w:pPr>
        <w:contextualSpacing/>
        <w:rPr>
          <w:rFonts w:ascii="Calibri" w:hAnsi="Calibri"/>
          <w:sz w:val="22"/>
          <w:szCs w:val="22"/>
          <w:lang w:val="sk-SK"/>
        </w:rPr>
      </w:pPr>
    </w:p>
    <w:p w:rsidR="002E5042" w:rsidRDefault="002E5042" w:rsidP="002E5042">
      <w:pPr>
        <w:contextualSpacing/>
        <w:rPr>
          <w:rFonts w:ascii="Calibri" w:hAnsi="Calibri"/>
          <w:b/>
          <w:sz w:val="22"/>
          <w:szCs w:val="22"/>
          <w:lang w:val="sk-SK"/>
        </w:rPr>
      </w:pPr>
      <w:r w:rsidRPr="002E5042">
        <w:rPr>
          <w:rFonts w:ascii="Calibri" w:hAnsi="Calibri"/>
          <w:sz w:val="22"/>
          <w:szCs w:val="22"/>
          <w:lang w:val="sk-SK"/>
        </w:rPr>
        <w:t xml:space="preserve">V súvislosti so zavedením bonusu za integráciu ambulancie VLD, ako súčasti úhradového mechanizmu </w:t>
      </w:r>
      <w:r w:rsidRPr="002E5042">
        <w:rPr>
          <w:rFonts w:ascii="Calibri" w:hAnsi="Calibri"/>
          <w:b/>
          <w:sz w:val="22"/>
          <w:szCs w:val="22"/>
          <w:lang w:val="sk-SK"/>
        </w:rPr>
        <w:t>súčasne navrhujeme:</w:t>
      </w:r>
    </w:p>
    <w:p w:rsidR="002407B4" w:rsidRPr="002E5042" w:rsidRDefault="002407B4" w:rsidP="002E5042">
      <w:pPr>
        <w:contextualSpacing/>
        <w:rPr>
          <w:rFonts w:ascii="Calibri" w:hAnsi="Calibri"/>
          <w:sz w:val="22"/>
          <w:szCs w:val="22"/>
          <w:lang w:val="sk-SK"/>
        </w:rPr>
      </w:pPr>
    </w:p>
    <w:p w:rsidR="002E5042" w:rsidRPr="002E5042" w:rsidRDefault="002E5042" w:rsidP="002E5042">
      <w:pPr>
        <w:numPr>
          <w:ilvl w:val="0"/>
          <w:numId w:val="7"/>
        </w:numPr>
        <w:spacing w:after="200"/>
        <w:ind w:left="714" w:right="-289" w:hanging="357"/>
        <w:contextualSpacing/>
        <w:rPr>
          <w:rFonts w:ascii="Calibri" w:hAnsi="Calibri"/>
          <w:sz w:val="22"/>
          <w:szCs w:val="22"/>
          <w:lang w:val="sk-SK"/>
        </w:rPr>
      </w:pPr>
      <w:r w:rsidRPr="002E5042">
        <w:rPr>
          <w:rFonts w:ascii="Calibri" w:hAnsi="Calibri"/>
          <w:sz w:val="22"/>
          <w:szCs w:val="22"/>
          <w:lang w:val="sk-SK"/>
        </w:rPr>
        <w:t xml:space="preserve"> zrušenie bísm.b) ods.13, §39b zákona 578/2004 z.z., pričom súčasný ods.c) sa označí ako b) a súčasný ods.d) sa označí ako c)</w:t>
      </w:r>
    </w:p>
    <w:p w:rsidR="002E5042" w:rsidRPr="002E5042" w:rsidRDefault="002E5042" w:rsidP="002E5042">
      <w:pPr>
        <w:numPr>
          <w:ilvl w:val="0"/>
          <w:numId w:val="7"/>
        </w:numPr>
        <w:spacing w:after="200"/>
        <w:ind w:left="714" w:right="-289" w:hanging="357"/>
        <w:contextualSpacing/>
        <w:rPr>
          <w:rFonts w:ascii="Calibri" w:hAnsi="Calibri"/>
          <w:sz w:val="22"/>
          <w:szCs w:val="22"/>
          <w:lang w:val="sk-SK"/>
        </w:rPr>
      </w:pPr>
      <w:r w:rsidRPr="002E5042">
        <w:rPr>
          <w:rFonts w:ascii="Calibri" w:hAnsi="Calibri"/>
          <w:sz w:val="22"/>
          <w:szCs w:val="22"/>
          <w:lang w:val="sk-SK"/>
        </w:rPr>
        <w:t>zrušenie ods.21) §39b zákona 578/2004 z.z., pričom súčasný ods.22 sa označí ako 21 a jeho textácia sa upraví  spôsobom zodpovedajúcim navrhovaným zmenám</w:t>
      </w:r>
    </w:p>
    <w:p w:rsidR="002E5042" w:rsidRPr="002E5042" w:rsidRDefault="002E5042" w:rsidP="002E5042">
      <w:pPr>
        <w:ind w:left="720"/>
        <w:contextualSpacing/>
        <w:rPr>
          <w:rFonts w:ascii="Calibri" w:hAnsi="Calibri"/>
          <w:sz w:val="22"/>
          <w:szCs w:val="22"/>
          <w:lang w:val="sk-SK"/>
        </w:rPr>
      </w:pPr>
    </w:p>
    <w:p w:rsidR="00F62F75" w:rsidRDefault="00F62F75" w:rsidP="002E5042">
      <w:pPr>
        <w:contextualSpacing/>
        <w:rPr>
          <w:rFonts w:ascii="Calibri" w:hAnsi="Calibri"/>
          <w:b/>
          <w:sz w:val="22"/>
          <w:szCs w:val="22"/>
          <w:lang w:val="sk-SK"/>
        </w:rPr>
      </w:pPr>
    </w:p>
    <w:p w:rsidR="004C4ADF" w:rsidRDefault="004C4ADF" w:rsidP="002407B4">
      <w:pPr>
        <w:pStyle w:val="Normlnywebov"/>
        <w:spacing w:before="0" w:beforeAutospacing="0" w:after="0" w:afterAutospacing="0"/>
        <w:rPr>
          <w:rStyle w:val="Siln"/>
          <w:rFonts w:ascii="Calibri" w:hAnsi="Calibri"/>
          <w:b w:val="0"/>
          <w:sz w:val="22"/>
          <w:szCs w:val="22"/>
        </w:rPr>
      </w:pPr>
      <w:r>
        <w:rPr>
          <w:rStyle w:val="Siln"/>
          <w:rFonts w:ascii="Calibri" w:hAnsi="Calibri"/>
          <w:b w:val="0"/>
          <w:sz w:val="22"/>
          <w:szCs w:val="22"/>
        </w:rPr>
        <w:t>POZN:</w:t>
      </w:r>
    </w:p>
    <w:p w:rsidR="004C4ADF" w:rsidRDefault="004C4ADF" w:rsidP="002407B4">
      <w:pPr>
        <w:pStyle w:val="Normlnywebov"/>
        <w:spacing w:before="0" w:beforeAutospacing="0" w:after="0" w:afterAutospacing="0"/>
        <w:rPr>
          <w:rStyle w:val="Siln"/>
          <w:rFonts w:ascii="Calibri" w:hAnsi="Calibri"/>
          <w:b w:val="0"/>
          <w:sz w:val="22"/>
          <w:szCs w:val="22"/>
        </w:rPr>
      </w:pPr>
    </w:p>
    <w:p w:rsidR="002407B4" w:rsidRPr="004C4ADF" w:rsidRDefault="004C4ADF" w:rsidP="002407B4">
      <w:pPr>
        <w:pStyle w:val="Normlnywebov"/>
        <w:spacing w:before="0" w:beforeAutospacing="0" w:after="0" w:afterAutospacing="0"/>
        <w:rPr>
          <w:rFonts w:ascii="Calibri" w:hAnsi="Calibri"/>
          <w:sz w:val="22"/>
          <w:szCs w:val="22"/>
        </w:rPr>
      </w:pPr>
      <w:r w:rsidRPr="004C4ADF">
        <w:rPr>
          <w:rStyle w:val="Siln"/>
          <w:rFonts w:ascii="Calibri" w:hAnsi="Calibri"/>
          <w:b w:val="0"/>
          <w:sz w:val="22"/>
          <w:szCs w:val="22"/>
        </w:rPr>
        <w:t xml:space="preserve">Bonus za integráciu, v kontexte </w:t>
      </w:r>
      <w:r>
        <w:rPr>
          <w:rStyle w:val="Siln"/>
          <w:rFonts w:ascii="Calibri" w:hAnsi="Calibri"/>
          <w:b w:val="0"/>
          <w:sz w:val="22"/>
          <w:szCs w:val="22"/>
        </w:rPr>
        <w:t xml:space="preserve">následne uvedených bonusov </w:t>
      </w:r>
      <w:r w:rsidRPr="004C4ADF">
        <w:rPr>
          <w:rStyle w:val="Siln"/>
          <w:rFonts w:ascii="Calibri" w:hAnsi="Calibri"/>
          <w:b w:val="0"/>
          <w:sz w:val="22"/>
          <w:szCs w:val="22"/>
        </w:rPr>
        <w:t>za starostlivosť v DSS, za dostupnosť, ako aj za starostlivosť o margianlizované skupiny vnímame</w:t>
      </w:r>
      <w:r>
        <w:rPr>
          <w:rStyle w:val="Siln"/>
          <w:rFonts w:ascii="Calibri" w:hAnsi="Calibri"/>
          <w:b w:val="0"/>
          <w:sz w:val="22"/>
          <w:szCs w:val="22"/>
        </w:rPr>
        <w:t xml:space="preserve"> spolu s ďalšími </w:t>
      </w:r>
      <w:r w:rsidRPr="004C4ADF">
        <w:rPr>
          <w:rStyle w:val="Siln"/>
          <w:rFonts w:ascii="Calibri" w:hAnsi="Calibri"/>
          <w:b w:val="0"/>
          <w:sz w:val="22"/>
          <w:szCs w:val="22"/>
        </w:rPr>
        <w:t>navrhovaný</w:t>
      </w:r>
      <w:r>
        <w:rPr>
          <w:rStyle w:val="Siln"/>
          <w:rFonts w:ascii="Calibri" w:hAnsi="Calibri"/>
          <w:b w:val="0"/>
          <w:sz w:val="22"/>
          <w:szCs w:val="22"/>
        </w:rPr>
        <w:t>mi</w:t>
      </w:r>
      <w:r w:rsidRPr="004C4ADF">
        <w:rPr>
          <w:rStyle w:val="Siln"/>
          <w:rFonts w:ascii="Calibri" w:hAnsi="Calibri"/>
          <w:b w:val="0"/>
          <w:sz w:val="22"/>
          <w:szCs w:val="22"/>
        </w:rPr>
        <w:t xml:space="preserve"> zm</w:t>
      </w:r>
      <w:r>
        <w:rPr>
          <w:rStyle w:val="Siln"/>
          <w:rFonts w:ascii="Calibri" w:hAnsi="Calibri"/>
          <w:b w:val="0"/>
          <w:sz w:val="22"/>
          <w:szCs w:val="22"/>
        </w:rPr>
        <w:t>enami financov</w:t>
      </w:r>
      <w:r w:rsidRPr="004C4ADF">
        <w:rPr>
          <w:rStyle w:val="Siln"/>
          <w:rFonts w:ascii="Calibri" w:hAnsi="Calibri"/>
          <w:b w:val="0"/>
          <w:sz w:val="22"/>
          <w:szCs w:val="22"/>
        </w:rPr>
        <w:t>ania</w:t>
      </w:r>
      <w:r>
        <w:rPr>
          <w:rStyle w:val="Siln"/>
          <w:rFonts w:ascii="Calibri" w:hAnsi="Calibri"/>
          <w:b w:val="0"/>
          <w:sz w:val="22"/>
          <w:szCs w:val="22"/>
        </w:rPr>
        <w:t xml:space="preserve"> ambulancií VLD uvedenými</w:t>
      </w:r>
      <w:r w:rsidRPr="004C4ADF">
        <w:rPr>
          <w:rStyle w:val="Siln"/>
          <w:rFonts w:ascii="Calibri" w:hAnsi="Calibri"/>
          <w:b w:val="0"/>
          <w:sz w:val="22"/>
          <w:szCs w:val="22"/>
        </w:rPr>
        <w:t xml:space="preserve"> v bodoch 7</w:t>
      </w:r>
      <w:r>
        <w:rPr>
          <w:rStyle w:val="Siln"/>
          <w:rFonts w:ascii="Calibri" w:hAnsi="Calibri"/>
          <w:b w:val="0"/>
          <w:sz w:val="22"/>
          <w:szCs w:val="22"/>
        </w:rPr>
        <w:t>.1.až 7.4 ako opatrenia vedúce ku</w:t>
      </w:r>
      <w:r w:rsidRPr="004C4ADF">
        <w:rPr>
          <w:rStyle w:val="Siln"/>
          <w:rFonts w:ascii="Calibri" w:hAnsi="Calibri"/>
          <w:b w:val="0"/>
          <w:sz w:val="22"/>
          <w:szCs w:val="22"/>
        </w:rPr>
        <w:t xml:space="preserve"> koncepčnému </w:t>
      </w:r>
      <w:r w:rsidR="002407B4" w:rsidRPr="004C4ADF">
        <w:rPr>
          <w:rStyle w:val="Siln"/>
          <w:rFonts w:ascii="Calibri" w:hAnsi="Calibri"/>
          <w:b w:val="0"/>
          <w:sz w:val="22"/>
          <w:szCs w:val="22"/>
        </w:rPr>
        <w:t>financovani</w:t>
      </w:r>
      <w:r w:rsidRPr="004C4ADF">
        <w:rPr>
          <w:rStyle w:val="Siln"/>
          <w:rFonts w:ascii="Calibri" w:hAnsi="Calibri"/>
          <w:b w:val="0"/>
          <w:sz w:val="22"/>
          <w:szCs w:val="22"/>
        </w:rPr>
        <w:t>u</w:t>
      </w:r>
      <w:r w:rsidR="002407B4" w:rsidRPr="004C4ADF">
        <w:rPr>
          <w:rStyle w:val="Siln"/>
          <w:rFonts w:ascii="Calibri" w:hAnsi="Calibri"/>
          <w:b w:val="0"/>
          <w:sz w:val="22"/>
          <w:szCs w:val="22"/>
        </w:rPr>
        <w:t xml:space="preserve"> odboru VL</w:t>
      </w:r>
      <w:r w:rsidR="002407B4" w:rsidRPr="004C4ADF">
        <w:rPr>
          <w:rFonts w:ascii="Calibri" w:hAnsi="Calibri"/>
          <w:b/>
          <w:sz w:val="22"/>
          <w:szCs w:val="22"/>
        </w:rPr>
        <w:t xml:space="preserve"> </w:t>
      </w:r>
      <w:r w:rsidR="002407B4" w:rsidRPr="004C4ADF">
        <w:rPr>
          <w:rFonts w:ascii="Calibri" w:hAnsi="Calibri"/>
          <w:sz w:val="22"/>
          <w:szCs w:val="22"/>
        </w:rPr>
        <w:t>zamerané na:</w:t>
      </w:r>
    </w:p>
    <w:p w:rsidR="002407B4" w:rsidRPr="004C4ADF" w:rsidRDefault="002407B4" w:rsidP="002407B4">
      <w:pPr>
        <w:pStyle w:val="Normlnywebov"/>
        <w:spacing w:before="0" w:beforeAutospacing="0" w:after="0" w:afterAutospacing="0"/>
        <w:rPr>
          <w:rFonts w:ascii="Calibri" w:hAnsi="Calibri"/>
          <w:sz w:val="22"/>
          <w:szCs w:val="22"/>
        </w:rPr>
      </w:pPr>
      <w:r w:rsidRPr="004C4ADF">
        <w:rPr>
          <w:rFonts w:ascii="Calibri" w:hAnsi="Calibri"/>
          <w:sz w:val="22"/>
          <w:szCs w:val="22"/>
        </w:rPr>
        <w:t>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1/ vyriešenie personálnych kapacít v odbore,</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2/ personálnu obnovu (generačnú výmenu),</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3/ vzdelávanie v odbore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4/ stabilizáciu ekonomických vzťahov medzi konečnými užívateľmi výhod, poskytovateľmi ZS (ambulanciamii VLD) a lekármi, ktorí reálne vykonávajú lekársku prax všeobecného lekára pre dospelých</w:t>
      </w:r>
      <w:r w:rsidRPr="002407B4">
        <w:rPr>
          <w:rStyle w:val="Siln"/>
          <w:rFonts w:ascii="Calibri" w:hAnsi="Calibri"/>
          <w:sz w:val="22"/>
          <w:szCs w:val="22"/>
        </w:rPr>
        <w:t xml:space="preserve">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 </w:t>
      </w:r>
    </w:p>
    <w:p w:rsidR="00706821" w:rsidRDefault="00706821" w:rsidP="002E5042">
      <w:pPr>
        <w:contextualSpacing/>
        <w:rPr>
          <w:rFonts w:ascii="Calibri" w:hAnsi="Calibri"/>
          <w:b/>
          <w:sz w:val="22"/>
          <w:szCs w:val="22"/>
          <w:lang w:val="sk-SK"/>
        </w:rPr>
      </w:pPr>
    </w:p>
    <w:p w:rsidR="002E5042" w:rsidRPr="002E5042" w:rsidRDefault="002E5042" w:rsidP="002E5042">
      <w:pPr>
        <w:contextualSpacing/>
        <w:rPr>
          <w:rFonts w:ascii="Calibri" w:hAnsi="Calibri"/>
          <w:sz w:val="22"/>
          <w:szCs w:val="22"/>
          <w:lang w:val="sk-SK"/>
        </w:rPr>
      </w:pPr>
      <w:r w:rsidRPr="00BF1005">
        <w:rPr>
          <w:rFonts w:ascii="Arial" w:hAnsi="Arial" w:cs="Arial"/>
          <w:b/>
          <w:color w:val="FF0000"/>
          <w:sz w:val="22"/>
          <w:szCs w:val="22"/>
          <w:lang w:val="sk-SK"/>
        </w:rPr>
        <w:t>7.6. starostlivosť o pacientov v DSS</w:t>
      </w:r>
      <w:r w:rsidRPr="002E5042">
        <w:rPr>
          <w:rFonts w:ascii="Calibri" w:hAnsi="Calibri"/>
          <w:b/>
          <w:sz w:val="22"/>
          <w:szCs w:val="22"/>
          <w:lang w:val="sk-SK"/>
        </w:rPr>
        <w:t xml:space="preserve"> </w:t>
      </w:r>
      <w:r w:rsidRPr="002E5042">
        <w:rPr>
          <w:rFonts w:ascii="Calibri" w:hAnsi="Calibri"/>
          <w:sz w:val="22"/>
          <w:szCs w:val="22"/>
          <w:lang w:val="sk-SK"/>
        </w:rPr>
        <w:t xml:space="preserve">považujeme za potrebné zabezpečiť  bonusom vo väzbe na celkový počet kapitantov danej ambulancie VLD, podobne ako v bode 7.5., vzhľadom na skutočnosť, že pravidelné návštevy a/alebo ordinácia lekára/sestry v DSS  sú/je otázkou organizácie práce na ambulancii ako celku a nie predmetom sporadických vyžiadaných návštev pacienta. </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bCs/>
          <w:sz w:val="22"/>
          <w:szCs w:val="22"/>
          <w:lang w:val="sk-SK"/>
        </w:rPr>
        <w:t>7.6.1. príplatok 0,15 EUR</w:t>
      </w:r>
      <w:r w:rsidRPr="002E5042">
        <w:rPr>
          <w:rFonts w:ascii="Calibri" w:hAnsi="Calibri"/>
          <w:sz w:val="22"/>
          <w:szCs w:val="22"/>
          <w:lang w:val="sk-SK"/>
        </w:rPr>
        <w:t xml:space="preserve"> k základ</w:t>
      </w:r>
      <w:r w:rsidR="006D5699">
        <w:rPr>
          <w:rFonts w:ascii="Calibri" w:hAnsi="Calibri"/>
          <w:sz w:val="22"/>
          <w:szCs w:val="22"/>
          <w:lang w:val="sk-SK"/>
        </w:rPr>
        <w:t>n</w:t>
      </w:r>
      <w:r w:rsidRPr="002E5042">
        <w:rPr>
          <w:rFonts w:ascii="Calibri" w:hAnsi="Calibri"/>
          <w:sz w:val="22"/>
          <w:szCs w:val="22"/>
          <w:lang w:val="sk-SK"/>
        </w:rPr>
        <w:t>ej kapitácii násobený počtom kapitovaných pacientov pri splnení požiadavky na  minimálny počet 10 kapitovaných pacientov s trvalým/prechodným pobytom v DSS a súčasne pravidelnou návštevnou službou v DSS najmenej 1 x do týždňa</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7.6.2.</w:t>
      </w:r>
      <w:r w:rsidRPr="002E5042">
        <w:rPr>
          <w:rFonts w:ascii="Calibri" w:hAnsi="Calibri"/>
          <w:sz w:val="22"/>
          <w:szCs w:val="22"/>
          <w:lang w:val="sk-SK"/>
        </w:rPr>
        <w:t xml:space="preserve"> obe skutočnosti (pobyt kapitanta v DSS a pravidelná návštevná služba/ordinácia lekára) dokladuje ambulancia VLD v zdravotnej poisťovni potvrdením prevádzkovateľa DSS (poskytovateľa sociálnej služby) vystaveným na tento účel</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7.6.3.</w:t>
      </w:r>
      <w:r w:rsidRPr="002E5042">
        <w:rPr>
          <w:rFonts w:ascii="Calibri" w:hAnsi="Calibri"/>
          <w:sz w:val="22"/>
          <w:szCs w:val="22"/>
          <w:lang w:val="sk-SK"/>
        </w:rPr>
        <w:t xml:space="preserve"> povinnosť uhrádzať alikvotnú časť bonusu podľa počtu poisťovni príslušných kapitantov kapitovaných na danej ambulancii VLD má každá poisťovňa bez ohľadu na skutočnosť, či v danom DSS je, alebo nie je umiestnený jej príslušný poistenec</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7.6.4.</w:t>
      </w:r>
      <w:r w:rsidRPr="002E5042">
        <w:rPr>
          <w:rFonts w:ascii="Calibri" w:hAnsi="Calibri"/>
          <w:sz w:val="22"/>
          <w:szCs w:val="22"/>
          <w:lang w:val="sk-SK"/>
        </w:rPr>
        <w:t xml:space="preserve"> v prípade, že ambulancia VLD zabezpečuje ZS podľa bodu 7.6.1. vo viac ako 1 DSS, koriguje sa výška príplatku násobkom koeficientu podľa počtu DSS, ktoré ambulancia zabezpečuje:</w:t>
      </w:r>
    </w:p>
    <w:p w:rsidR="002E5042" w:rsidRPr="007D3D2B" w:rsidRDefault="002E5042" w:rsidP="002E5042">
      <w:pPr>
        <w:numPr>
          <w:ilvl w:val="0"/>
          <w:numId w:val="6"/>
        </w:numPr>
        <w:spacing w:after="200"/>
        <w:ind w:right="-289"/>
        <w:contextualSpacing/>
        <w:rPr>
          <w:rFonts w:ascii="Calibri" w:hAnsi="Calibri"/>
          <w:b/>
          <w:sz w:val="22"/>
          <w:szCs w:val="22"/>
          <w:lang w:val="sk-SK"/>
        </w:rPr>
      </w:pPr>
      <w:r w:rsidRPr="007D3D2B">
        <w:rPr>
          <w:rFonts w:ascii="Calibri" w:hAnsi="Calibri"/>
          <w:b/>
          <w:sz w:val="22"/>
          <w:szCs w:val="22"/>
          <w:lang w:val="sk-SK"/>
        </w:rPr>
        <w:t>koeficient pre 2 DSS : 1,5</w:t>
      </w:r>
    </w:p>
    <w:p w:rsidR="002E5042" w:rsidRPr="007D3D2B" w:rsidRDefault="002E5042" w:rsidP="002E5042">
      <w:pPr>
        <w:numPr>
          <w:ilvl w:val="0"/>
          <w:numId w:val="6"/>
        </w:numPr>
        <w:spacing w:after="200"/>
        <w:ind w:right="-289"/>
        <w:contextualSpacing/>
        <w:rPr>
          <w:rFonts w:ascii="Calibri" w:hAnsi="Calibri"/>
          <w:b/>
          <w:sz w:val="22"/>
          <w:szCs w:val="22"/>
          <w:lang w:val="sk-SK"/>
        </w:rPr>
      </w:pPr>
      <w:r w:rsidRPr="007D3D2B">
        <w:rPr>
          <w:rFonts w:ascii="Calibri" w:hAnsi="Calibri"/>
          <w:b/>
          <w:sz w:val="22"/>
          <w:szCs w:val="22"/>
          <w:lang w:val="sk-SK"/>
        </w:rPr>
        <w:t>koeficient pre 3 a viac DSS: 2,0</w:t>
      </w:r>
    </w:p>
    <w:p w:rsid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pre každú z DSS, v ktorej ambulancia VLD  zabezpečuje ZS, platí ustanovenie bodu 7.6.1 o minimálnom počte klientov DSS, o minimálnej návštevnosti/ordinácii ambulancie VLD v DSS a o požiadavke na potvrdenie uvedených skutočností  prevádzkovateľom DSS</w:t>
      </w:r>
    </w:p>
    <w:p w:rsidR="00A4442C" w:rsidRDefault="00A4442C"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koeficient 1,5 sa použije aj v prípade</w:t>
      </w:r>
      <w:r>
        <w:rPr>
          <w:rFonts w:ascii="Calibri" w:hAnsi="Calibri"/>
          <w:sz w:val="22"/>
          <w:szCs w:val="22"/>
          <w:lang w:val="sk-SK"/>
        </w:rPr>
        <w:t xml:space="preserve">, že v jednotlivom DSS ambulancia VLD zabezpečuje starostlivosť o </w:t>
      </w:r>
      <w:r w:rsidRPr="007D3D2B">
        <w:rPr>
          <w:rFonts w:ascii="Calibri" w:hAnsi="Calibri"/>
          <w:b/>
          <w:sz w:val="22"/>
          <w:szCs w:val="22"/>
          <w:lang w:val="sk-SK"/>
        </w:rPr>
        <w:t>viac ako 50 kapitovaných</w:t>
      </w:r>
      <w:r>
        <w:rPr>
          <w:rFonts w:ascii="Calibri" w:hAnsi="Calibri"/>
          <w:sz w:val="22"/>
          <w:szCs w:val="22"/>
          <w:lang w:val="sk-SK"/>
        </w:rPr>
        <w:t xml:space="preserve"> pacientov</w:t>
      </w:r>
    </w:p>
    <w:p w:rsidR="00A4442C" w:rsidRDefault="00A4442C" w:rsidP="00A4442C">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koeficient 2,0 sa použije aj v prípade</w:t>
      </w:r>
      <w:r>
        <w:rPr>
          <w:rFonts w:ascii="Calibri" w:hAnsi="Calibri"/>
          <w:sz w:val="22"/>
          <w:szCs w:val="22"/>
          <w:lang w:val="sk-SK"/>
        </w:rPr>
        <w:t xml:space="preserve">, že v jednotlivom DSS ambulancia VLD zabezpečuje starostlivosť </w:t>
      </w:r>
      <w:r w:rsidRPr="007D3D2B">
        <w:rPr>
          <w:rFonts w:ascii="Calibri" w:hAnsi="Calibri"/>
          <w:b/>
          <w:sz w:val="22"/>
          <w:szCs w:val="22"/>
          <w:lang w:val="sk-SK"/>
        </w:rPr>
        <w:t>o viac ako 150 kapitovaných</w:t>
      </w:r>
      <w:r>
        <w:rPr>
          <w:rFonts w:ascii="Calibri" w:hAnsi="Calibri"/>
          <w:sz w:val="22"/>
          <w:szCs w:val="22"/>
          <w:lang w:val="sk-SK"/>
        </w:rPr>
        <w:t xml:space="preserve"> pacientov</w:t>
      </w:r>
    </w:p>
    <w:p w:rsidR="00A4442C" w:rsidRPr="002E5042" w:rsidRDefault="00A4442C" w:rsidP="002E5042">
      <w:pPr>
        <w:numPr>
          <w:ilvl w:val="0"/>
          <w:numId w:val="6"/>
        </w:numPr>
        <w:spacing w:after="200"/>
        <w:ind w:right="-289"/>
        <w:contextualSpacing/>
        <w:rPr>
          <w:rFonts w:ascii="Calibri" w:hAnsi="Calibri"/>
          <w:sz w:val="22"/>
          <w:szCs w:val="22"/>
          <w:lang w:val="sk-SK"/>
        </w:rPr>
      </w:pPr>
      <w:r>
        <w:rPr>
          <w:rFonts w:ascii="Calibri" w:hAnsi="Calibri"/>
          <w:sz w:val="22"/>
          <w:szCs w:val="22"/>
          <w:lang w:val="sk-SK"/>
        </w:rPr>
        <w:t>7.6.5. koeficienty vzťahujúce sa na počet DSS a na počet kapitovaných pacientov v jednotlivom DSS v starostlivosti ambulancie VLD sa nesčítavajú ani nenásobia. Pre výpočet výšky príplatku s</w:t>
      </w:r>
      <w:r w:rsidR="00D561EC">
        <w:rPr>
          <w:rFonts w:ascii="Calibri" w:hAnsi="Calibri"/>
          <w:sz w:val="22"/>
          <w:szCs w:val="22"/>
          <w:lang w:val="sk-SK"/>
        </w:rPr>
        <w:t>a použije len jeden so spôsobov uplatnenia korekčného koeficientu.</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2E5042" w:rsidRPr="002E5042" w:rsidRDefault="002E5042" w:rsidP="002E5042">
      <w:pPr>
        <w:contextualSpacing/>
        <w:rPr>
          <w:rFonts w:ascii="Calibri" w:hAnsi="Calibri"/>
          <w:sz w:val="22"/>
          <w:szCs w:val="22"/>
          <w:lang w:val="sk-SK"/>
        </w:rPr>
      </w:pPr>
      <w:r w:rsidRPr="00BF1005">
        <w:rPr>
          <w:rFonts w:ascii="Arial" w:hAnsi="Arial" w:cs="Arial"/>
          <w:b/>
          <w:color w:val="FF0000"/>
          <w:sz w:val="22"/>
          <w:szCs w:val="22"/>
          <w:lang w:val="sk-SK"/>
        </w:rPr>
        <w:t>7.7. bonus za dostupnosť</w:t>
      </w:r>
      <w:r w:rsidRPr="00BF1005">
        <w:rPr>
          <w:rFonts w:ascii="Arial" w:hAnsi="Arial" w:cs="Arial"/>
          <w:sz w:val="22"/>
          <w:szCs w:val="22"/>
          <w:lang w:val="sk-SK"/>
        </w:rPr>
        <w:t xml:space="preserve"> </w:t>
      </w:r>
      <w:r w:rsidRPr="002E5042">
        <w:rPr>
          <w:rFonts w:ascii="Calibri" w:hAnsi="Calibri"/>
          <w:sz w:val="22"/>
          <w:szCs w:val="22"/>
          <w:lang w:val="sk-SK"/>
        </w:rPr>
        <w:t xml:space="preserve"> má aspoň čiastočne kompenzovať náklady  a/alebo vykrývať straty ambulancie VLD v súvislosti so starostlivosťou o pacientov v oblastiach so zníženou dostupnosťou.</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 xml:space="preserve">Za oblasti so zníženou dostupnosťou považujeme pre účely tohto parametra hustotu osídlenia jednotlivých regiónov SR podľa oficiálnych štatistických údajov </w:t>
      </w:r>
      <w:r w:rsidRPr="002E5042">
        <w:rPr>
          <w:rFonts w:ascii="Calibri" w:hAnsi="Calibri"/>
          <w:sz w:val="22"/>
          <w:szCs w:val="22"/>
          <w:u w:val="single"/>
          <w:lang w:val="sk-SK"/>
        </w:rPr>
        <w:t>(viz.príloha č.1)</w:t>
      </w:r>
      <w:r w:rsidRPr="002E5042">
        <w:rPr>
          <w:rFonts w:ascii="Calibri" w:hAnsi="Calibri"/>
          <w:sz w:val="22"/>
          <w:szCs w:val="22"/>
          <w:lang w:val="sk-SK"/>
        </w:rPr>
        <w:t xml:space="preserve"> vo väzbe na počet ambulancií v danom sídle (obci, meste).  </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p</w:t>
      </w:r>
      <w:r w:rsidRPr="002E5042">
        <w:rPr>
          <w:rFonts w:ascii="Calibri" w:hAnsi="Calibri"/>
          <w:bCs/>
          <w:sz w:val="22"/>
          <w:szCs w:val="22"/>
          <w:lang w:val="sk-SK"/>
        </w:rPr>
        <w:t>ríplatok 0,15 EUR</w:t>
      </w:r>
      <w:r w:rsidRPr="002E5042">
        <w:rPr>
          <w:rFonts w:ascii="Calibri" w:hAnsi="Calibri"/>
          <w:sz w:val="22"/>
          <w:szCs w:val="22"/>
          <w:lang w:val="sk-SK"/>
        </w:rPr>
        <w:t xml:space="preserve"> k základej kapitácii násobený počtom kapitovaných pacientov  u poskytovateľa na jednotlivej ambulancii VLD, ktorá je jedinou ambulanciou v sídle (obci, meste) v okrese so štatisticky preukázanou podpriemernou hustotou osídlenia v porovnaní  s priemerom hustoty osídlenia SR</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Z hľadiska poskytovateľa je zaujímavá možnosť synergického pôsobenia bonusu za dostupnosť s  bonusom za integráciu na zvyšovanie celkových príjmov za poskytovanú ZS (objem výkonov, dostupnosť, vyšší počet kapitovaných pacientov)</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bonus za dostupnosť patrí aj ambulancii VLD, ktorá zabezpečuje svoju prevádzku v dvoch (2) a viacerých sídlach (obciach), kde je jedinou ambulanciou v takomto sídle a ordinačné hodiny podľa zákonom stanoveného rozsahu delí medzi jednotlivé sídla (miesta prevádzky ambulancie). V tomto prípade sa bonus uplatňuje bez ohľadu na priemernú hustotu obyvateľstva v danom regióne.</w:t>
      </w:r>
    </w:p>
    <w:p w:rsidR="002E5042" w:rsidRPr="002E5042" w:rsidRDefault="002E5042" w:rsidP="002E5042">
      <w:pPr>
        <w:contextualSpacing/>
        <w:rPr>
          <w:rFonts w:ascii="Calibri" w:hAnsi="Calibri"/>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2E5042" w:rsidRDefault="002E5042" w:rsidP="002E5042">
      <w:pPr>
        <w:contextualSpacing/>
        <w:rPr>
          <w:rFonts w:ascii="Calibri" w:hAnsi="Calibri"/>
          <w:sz w:val="22"/>
          <w:szCs w:val="22"/>
          <w:lang w:val="sk-SK"/>
        </w:rPr>
      </w:pPr>
      <w:r w:rsidRPr="00BF1005">
        <w:rPr>
          <w:rFonts w:ascii="Arial" w:hAnsi="Arial" w:cs="Arial"/>
          <w:b/>
          <w:color w:val="FF0000"/>
          <w:sz w:val="22"/>
          <w:szCs w:val="22"/>
          <w:lang w:val="sk-SK"/>
        </w:rPr>
        <w:t>7.8. bonus sa starostlivosť o margianalizované komunity</w:t>
      </w:r>
      <w:r w:rsidRPr="002E5042">
        <w:rPr>
          <w:rFonts w:ascii="Calibri" w:hAnsi="Calibri"/>
          <w:b/>
          <w:sz w:val="22"/>
          <w:szCs w:val="22"/>
          <w:lang w:val="sk-SK"/>
        </w:rPr>
        <w:t xml:space="preserve"> </w:t>
      </w:r>
      <w:r w:rsidR="00F71CFA">
        <w:rPr>
          <w:rFonts w:ascii="Calibri" w:hAnsi="Calibri"/>
          <w:sz w:val="22"/>
          <w:szCs w:val="22"/>
          <w:lang w:val="sk-SK"/>
        </w:rPr>
        <w:t>k</w:t>
      </w:r>
      <w:r w:rsidRPr="002E5042">
        <w:rPr>
          <w:rFonts w:ascii="Calibri" w:hAnsi="Calibri"/>
          <w:sz w:val="22"/>
          <w:szCs w:val="22"/>
          <w:lang w:val="sk-SK"/>
        </w:rPr>
        <w:t>oncipujeme v</w:t>
      </w:r>
      <w:r w:rsidR="00F71CFA">
        <w:rPr>
          <w:rFonts w:ascii="Calibri" w:hAnsi="Calibri"/>
          <w:sz w:val="22"/>
          <w:szCs w:val="22"/>
          <w:lang w:val="sk-SK"/>
        </w:rPr>
        <w:t> </w:t>
      </w:r>
      <w:r w:rsidRPr="002E5042">
        <w:rPr>
          <w:rFonts w:ascii="Calibri" w:hAnsi="Calibri"/>
          <w:sz w:val="22"/>
          <w:szCs w:val="22"/>
          <w:lang w:val="sk-SK"/>
        </w:rPr>
        <w:t>kontexte</w:t>
      </w:r>
      <w:r w:rsidR="00F71CFA">
        <w:rPr>
          <w:rFonts w:ascii="Calibri" w:hAnsi="Calibri"/>
          <w:sz w:val="22"/>
          <w:szCs w:val="22"/>
          <w:lang w:val="sk-SK"/>
        </w:rPr>
        <w:t xml:space="preserve"> najmenej rozvinutých okresov v zmysle zákona 336/2015 z.z. </w:t>
      </w:r>
      <w:r w:rsidR="005C6DD9">
        <w:rPr>
          <w:rFonts w:ascii="Calibri" w:hAnsi="Calibri"/>
          <w:sz w:val="22"/>
          <w:szCs w:val="22"/>
          <w:lang w:val="sk-SK"/>
        </w:rPr>
        <w:t xml:space="preserve"> </w:t>
      </w:r>
      <w:r w:rsidR="00F71CFA">
        <w:rPr>
          <w:rFonts w:ascii="Calibri" w:hAnsi="Calibri"/>
          <w:sz w:val="22"/>
          <w:szCs w:val="22"/>
          <w:lang w:val="sk-SK"/>
        </w:rPr>
        <w:t xml:space="preserve">Tento prístup podľa nášho názoru zodpovedá zamýšľanému účelu tohto bonusu, ktorým je potrebné kompenzovať  zvýšené náklady poskytovateľa všeobecnej </w:t>
      </w:r>
      <w:r w:rsidR="005C6DD9">
        <w:rPr>
          <w:rFonts w:ascii="Calibri" w:hAnsi="Calibri"/>
          <w:sz w:val="22"/>
          <w:szCs w:val="22"/>
          <w:lang w:val="sk-SK"/>
        </w:rPr>
        <w:t xml:space="preserve"> </w:t>
      </w:r>
      <w:r w:rsidR="00F71CFA">
        <w:rPr>
          <w:rFonts w:ascii="Calibri" w:hAnsi="Calibri"/>
          <w:sz w:val="22"/>
          <w:szCs w:val="22"/>
          <w:lang w:val="sk-SK"/>
        </w:rPr>
        <w:t>ambulantnej starostlivosti v súvislosti s organizáciou praxe v</w:t>
      </w:r>
      <w:r w:rsidR="005C6DD9">
        <w:rPr>
          <w:rFonts w:ascii="Calibri" w:hAnsi="Calibri"/>
          <w:sz w:val="22"/>
          <w:szCs w:val="22"/>
          <w:lang w:val="sk-SK"/>
        </w:rPr>
        <w:t xml:space="preserve"> problematických </w:t>
      </w:r>
      <w:r w:rsidR="00F71CFA">
        <w:rPr>
          <w:rFonts w:ascii="Calibri" w:hAnsi="Calibri"/>
          <w:sz w:val="22"/>
          <w:szCs w:val="22"/>
          <w:lang w:val="sk-SK"/>
        </w:rPr>
        <w:t>oblastiach s marginalizovanými komunitami a motivovať poskytovateľa, aby vo výkone praxe v</w:t>
      </w:r>
      <w:r w:rsidR="005C6DD9">
        <w:rPr>
          <w:rFonts w:ascii="Calibri" w:hAnsi="Calibri"/>
          <w:sz w:val="22"/>
          <w:szCs w:val="22"/>
          <w:lang w:val="sk-SK"/>
        </w:rPr>
        <w:t xml:space="preserve"> týchto </w:t>
      </w:r>
      <w:r w:rsidR="00F71CFA">
        <w:rPr>
          <w:rFonts w:ascii="Calibri" w:hAnsi="Calibri"/>
          <w:sz w:val="22"/>
          <w:szCs w:val="22"/>
          <w:lang w:val="sk-SK"/>
        </w:rPr>
        <w:t xml:space="preserve">oblastiach zotrval. </w:t>
      </w:r>
    </w:p>
    <w:p w:rsidR="00F71CFA" w:rsidRPr="002E5042" w:rsidRDefault="00F71CFA" w:rsidP="002E5042">
      <w:pPr>
        <w:contextualSpacing/>
        <w:rPr>
          <w:rFonts w:ascii="Calibri" w:hAnsi="Calibri"/>
          <w:b/>
          <w:sz w:val="22"/>
          <w:szCs w:val="22"/>
          <w:lang w:val="sk-SK"/>
        </w:rPr>
      </w:pPr>
    </w:p>
    <w:p w:rsidR="002E5042" w:rsidRPr="00706821"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 xml:space="preserve"> </w:t>
      </w:r>
      <w:r w:rsidRPr="002E5042">
        <w:rPr>
          <w:rFonts w:ascii="Calibri" w:hAnsi="Calibri"/>
          <w:b/>
          <w:bCs/>
          <w:sz w:val="22"/>
          <w:szCs w:val="22"/>
          <w:lang w:val="sk-SK"/>
        </w:rPr>
        <w:t>NAVRHUJEME:</w:t>
      </w:r>
    </w:p>
    <w:p w:rsidR="00706821" w:rsidRDefault="005C6DD9" w:rsidP="002E5042">
      <w:pPr>
        <w:numPr>
          <w:ilvl w:val="0"/>
          <w:numId w:val="6"/>
        </w:numPr>
        <w:spacing w:after="200"/>
        <w:ind w:right="-289"/>
        <w:contextualSpacing/>
        <w:rPr>
          <w:rFonts w:ascii="Calibri" w:hAnsi="Calibri"/>
          <w:sz w:val="22"/>
          <w:szCs w:val="22"/>
          <w:lang w:val="sk-SK"/>
        </w:rPr>
      </w:pPr>
      <w:r w:rsidRPr="004C4ADF">
        <w:rPr>
          <w:rFonts w:ascii="Calibri" w:hAnsi="Calibri"/>
          <w:b/>
          <w:bCs/>
          <w:sz w:val="22"/>
          <w:szCs w:val="22"/>
          <w:lang w:val="sk-SK"/>
        </w:rPr>
        <w:t>7.8.1.</w:t>
      </w:r>
      <w:r w:rsidRPr="002E5042">
        <w:rPr>
          <w:rFonts w:ascii="Calibri" w:hAnsi="Calibri"/>
          <w:bCs/>
          <w:sz w:val="22"/>
          <w:szCs w:val="22"/>
          <w:lang w:val="sk-SK"/>
        </w:rPr>
        <w:t xml:space="preserve"> Príplatok k</w:t>
      </w:r>
      <w:r w:rsidRPr="002E5042">
        <w:rPr>
          <w:rFonts w:ascii="Calibri" w:hAnsi="Calibri"/>
          <w:b/>
          <w:bCs/>
          <w:sz w:val="22"/>
          <w:szCs w:val="22"/>
          <w:lang w:val="sk-SK"/>
        </w:rPr>
        <w:t xml:space="preserve"> </w:t>
      </w:r>
      <w:r w:rsidRPr="002E5042">
        <w:rPr>
          <w:rFonts w:ascii="Calibri" w:hAnsi="Calibri"/>
          <w:sz w:val="22"/>
          <w:szCs w:val="22"/>
          <w:lang w:val="sk-SK"/>
        </w:rPr>
        <w:t>základnej kapitácii násobený počtom kapitovaných pacientov  u poskytovateľa,  ktorý poskytuje všeobecnú ambulantnú starostlivosť pre dospelých v</w:t>
      </w:r>
      <w:r>
        <w:rPr>
          <w:rFonts w:ascii="Calibri" w:hAnsi="Calibri"/>
          <w:sz w:val="22"/>
          <w:szCs w:val="22"/>
          <w:lang w:val="sk-SK"/>
        </w:rPr>
        <w:t> </w:t>
      </w:r>
      <w:r w:rsidRPr="002E5042">
        <w:rPr>
          <w:rFonts w:ascii="Calibri" w:hAnsi="Calibri"/>
          <w:sz w:val="22"/>
          <w:szCs w:val="22"/>
          <w:lang w:val="sk-SK"/>
        </w:rPr>
        <w:t>sídle</w:t>
      </w:r>
      <w:r>
        <w:rPr>
          <w:rFonts w:ascii="Calibri" w:hAnsi="Calibri"/>
          <w:sz w:val="22"/>
          <w:szCs w:val="22"/>
          <w:lang w:val="sk-SK"/>
        </w:rPr>
        <w:t>, ktoré sa nachádza v jednom z najmenej rozvinutých okresov</w:t>
      </w:r>
    </w:p>
    <w:p w:rsidR="005C6DD9" w:rsidRPr="005C6DD9" w:rsidRDefault="005C6DD9" w:rsidP="005C6DD9">
      <w:pPr>
        <w:numPr>
          <w:ilvl w:val="0"/>
          <w:numId w:val="6"/>
        </w:numPr>
        <w:spacing w:after="200"/>
        <w:ind w:right="-289"/>
        <w:contextualSpacing/>
        <w:rPr>
          <w:rFonts w:ascii="Calibri" w:hAnsi="Calibri"/>
          <w:sz w:val="22"/>
          <w:szCs w:val="22"/>
          <w:lang w:val="sk-SK"/>
        </w:rPr>
      </w:pPr>
      <w:r>
        <w:rPr>
          <w:rFonts w:ascii="Calibri" w:hAnsi="Calibri"/>
          <w:b/>
          <w:bCs/>
          <w:sz w:val="22"/>
          <w:szCs w:val="22"/>
          <w:lang w:val="sk-SK"/>
        </w:rPr>
        <w:t>7.8.2. </w:t>
      </w:r>
      <w:r w:rsidRPr="005C6DD9">
        <w:rPr>
          <w:rFonts w:ascii="Calibri" w:hAnsi="Calibri"/>
          <w:bCs/>
          <w:sz w:val="22"/>
          <w:szCs w:val="22"/>
          <w:lang w:val="sk-SK"/>
        </w:rPr>
        <w:t>záujme adresnejšieho prerozdelenia tohto bonusu navrhujeme zohľadniť  veľkosť  sídla, v ktorom poskytovateľ pôsobí a pre tento účel použiť počet obyvateľov sídla  10.000</w:t>
      </w:r>
      <w:r>
        <w:rPr>
          <w:rFonts w:ascii="Calibri" w:hAnsi="Calibri"/>
          <w:bCs/>
          <w:sz w:val="22"/>
          <w:szCs w:val="22"/>
          <w:lang w:val="sk-SK"/>
        </w:rPr>
        <w:t xml:space="preserve">, pričom </w:t>
      </w:r>
      <w:r w:rsidRPr="002E5042">
        <w:rPr>
          <w:rFonts w:ascii="Calibri" w:hAnsi="Calibri"/>
          <w:sz w:val="22"/>
          <w:szCs w:val="22"/>
          <w:lang w:val="sk-SK"/>
        </w:rPr>
        <w:t>sa výsledná výška príplatku  koriguje násobkom koeficientu podľa celkového počtu obyvateľov v danom sídle:</w:t>
      </w:r>
    </w:p>
    <w:p w:rsidR="005C6DD9" w:rsidRPr="004E2F1C" w:rsidRDefault="005C6DD9" w:rsidP="002E5042">
      <w:pPr>
        <w:numPr>
          <w:ilvl w:val="0"/>
          <w:numId w:val="6"/>
        </w:numPr>
        <w:spacing w:after="200"/>
        <w:ind w:right="-289"/>
        <w:contextualSpacing/>
        <w:rPr>
          <w:rFonts w:ascii="Calibri" w:hAnsi="Calibri"/>
          <w:sz w:val="22"/>
          <w:szCs w:val="22"/>
          <w:lang w:val="sk-SK"/>
        </w:rPr>
      </w:pPr>
      <w:r>
        <w:rPr>
          <w:rFonts w:ascii="Calibri" w:hAnsi="Calibri"/>
          <w:b/>
          <w:bCs/>
          <w:sz w:val="22"/>
          <w:szCs w:val="22"/>
          <w:lang w:val="sk-SK"/>
        </w:rPr>
        <w:t xml:space="preserve">0,08 EUR </w:t>
      </w:r>
      <w:r w:rsidRPr="004E2F1C">
        <w:rPr>
          <w:rFonts w:ascii="Calibri" w:hAnsi="Calibri"/>
          <w:bCs/>
          <w:sz w:val="22"/>
          <w:szCs w:val="22"/>
          <w:lang w:val="sk-SK"/>
        </w:rPr>
        <w:t>pre sídla s počtom obyvateľov viac ako 10.000</w:t>
      </w:r>
      <w:r w:rsidR="004E2F1C" w:rsidRPr="004E2F1C">
        <w:rPr>
          <w:rFonts w:ascii="Calibri" w:hAnsi="Calibri"/>
          <w:bCs/>
          <w:sz w:val="22"/>
          <w:szCs w:val="22"/>
          <w:lang w:val="sk-SK"/>
        </w:rPr>
        <w:t xml:space="preserve"> (ide o všetky okresné mestá najmenej rozvinutých okresov okrem okresných miest Poltár, Sobrance , Medzilaborce)</w:t>
      </w:r>
    </w:p>
    <w:p w:rsidR="005C6DD9" w:rsidRPr="004E2F1C" w:rsidRDefault="005C6DD9" w:rsidP="005C6DD9">
      <w:pPr>
        <w:numPr>
          <w:ilvl w:val="0"/>
          <w:numId w:val="6"/>
        </w:numPr>
        <w:spacing w:after="200"/>
        <w:ind w:right="-289"/>
        <w:contextualSpacing/>
        <w:rPr>
          <w:rFonts w:ascii="Calibri" w:hAnsi="Calibri"/>
          <w:sz w:val="22"/>
          <w:szCs w:val="22"/>
          <w:lang w:val="sk-SK"/>
        </w:rPr>
      </w:pPr>
      <w:r>
        <w:rPr>
          <w:rFonts w:ascii="Calibri" w:hAnsi="Calibri"/>
          <w:b/>
          <w:bCs/>
          <w:sz w:val="22"/>
          <w:szCs w:val="22"/>
          <w:lang w:val="sk-SK"/>
        </w:rPr>
        <w:t xml:space="preserve">0,24 EUR </w:t>
      </w:r>
      <w:r w:rsidRPr="004E2F1C">
        <w:rPr>
          <w:rFonts w:ascii="Calibri" w:hAnsi="Calibri"/>
          <w:bCs/>
          <w:sz w:val="22"/>
          <w:szCs w:val="22"/>
          <w:lang w:val="sk-SK"/>
        </w:rPr>
        <w:t>pre sídla s počtom obyvateľov menej ako 10.000</w:t>
      </w:r>
      <w:r w:rsidR="004E2F1C" w:rsidRPr="004E2F1C">
        <w:rPr>
          <w:rFonts w:ascii="Calibri" w:hAnsi="Calibri"/>
          <w:bCs/>
          <w:sz w:val="22"/>
          <w:szCs w:val="22"/>
          <w:lang w:val="sk-SK"/>
        </w:rPr>
        <w:t xml:space="preserve"> (ide o všetky sídla mimo okresných miest s výnimkou mesta Fiľakovo v okrese Lučenec)</w:t>
      </w:r>
    </w:p>
    <w:p w:rsidR="005C6DD9" w:rsidRPr="005C6DD9" w:rsidRDefault="005C6DD9" w:rsidP="004E2F1C">
      <w:pPr>
        <w:spacing w:after="200"/>
        <w:ind w:left="720" w:right="-289"/>
        <w:contextualSpacing/>
        <w:rPr>
          <w:rFonts w:ascii="Calibri" w:hAnsi="Calibri"/>
          <w:sz w:val="22"/>
          <w:szCs w:val="22"/>
          <w:lang w:val="sk-SK"/>
        </w:rPr>
      </w:pPr>
    </w:p>
    <w:p w:rsidR="00706821" w:rsidRDefault="00706821" w:rsidP="00706821">
      <w:pPr>
        <w:ind w:left="360"/>
        <w:contextualSpacing/>
        <w:rPr>
          <w:rFonts w:ascii="Calibri" w:hAnsi="Calibri"/>
          <w:sz w:val="22"/>
          <w:szCs w:val="22"/>
          <w:lang w:val="sk-SK"/>
        </w:rPr>
      </w:pPr>
    </w:p>
    <w:p w:rsidR="00706821" w:rsidRPr="00F71CFA" w:rsidRDefault="00706821" w:rsidP="00706821">
      <w:pPr>
        <w:ind w:left="708"/>
        <w:contextualSpacing/>
        <w:rPr>
          <w:rFonts w:ascii="Calibri" w:hAnsi="Calibri"/>
          <w:b/>
          <w:sz w:val="22"/>
          <w:szCs w:val="22"/>
          <w:lang w:val="sk-SK"/>
        </w:rPr>
      </w:pPr>
      <w:r w:rsidRPr="00F71CFA">
        <w:rPr>
          <w:rFonts w:ascii="Calibri" w:hAnsi="Calibri"/>
          <w:b/>
          <w:sz w:val="22"/>
          <w:szCs w:val="22"/>
          <w:lang w:val="sk-SK"/>
        </w:rPr>
        <w:t>Alternatíva 2:</w:t>
      </w:r>
    </w:p>
    <w:p w:rsidR="00706821" w:rsidRDefault="00706821" w:rsidP="00706821">
      <w:pPr>
        <w:ind w:left="708"/>
        <w:contextualSpacing/>
        <w:rPr>
          <w:rFonts w:ascii="Calibri" w:hAnsi="Calibri"/>
          <w:sz w:val="22"/>
          <w:szCs w:val="22"/>
          <w:lang w:val="sk-SK"/>
        </w:rPr>
      </w:pPr>
      <w:r w:rsidRPr="002E5042">
        <w:rPr>
          <w:rFonts w:ascii="Calibri" w:hAnsi="Calibri"/>
          <w:sz w:val="22"/>
          <w:szCs w:val="22"/>
          <w:lang w:val="sk-SK"/>
        </w:rPr>
        <w:t>v kontexte akčných plánov stratégie SR pre integráciu Rómov v oblasti zdravotnej starostlivosti</w:t>
      </w:r>
      <w:r w:rsidR="00F71CFA">
        <w:rPr>
          <w:rFonts w:ascii="Calibri" w:hAnsi="Calibri"/>
          <w:sz w:val="22"/>
          <w:szCs w:val="22"/>
          <w:lang w:val="sk-SK"/>
        </w:rPr>
        <w:t xml:space="preserve">  </w:t>
      </w:r>
      <w:r w:rsidRPr="002E5042">
        <w:rPr>
          <w:rFonts w:ascii="Calibri" w:hAnsi="Calibri"/>
          <w:sz w:val="22"/>
          <w:szCs w:val="22"/>
          <w:u w:val="single"/>
          <w:lang w:val="sk-SK"/>
        </w:rPr>
        <w:t>(viz. príloha č. 2,3,4)</w:t>
      </w:r>
      <w:r>
        <w:rPr>
          <w:rFonts w:ascii="Calibri" w:hAnsi="Calibri"/>
          <w:sz w:val="22"/>
          <w:szCs w:val="22"/>
          <w:lang w:val="sk-SK"/>
        </w:rPr>
        <w:t>:</w:t>
      </w:r>
    </w:p>
    <w:p w:rsidR="00706821" w:rsidRPr="002E5042" w:rsidRDefault="00706821" w:rsidP="00706821">
      <w:pPr>
        <w:ind w:left="708"/>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b/>
          <w:bCs/>
          <w:sz w:val="22"/>
          <w:szCs w:val="22"/>
          <w:lang w:val="sk-SK"/>
        </w:rPr>
        <w:t>7.8.1.</w:t>
      </w:r>
      <w:r w:rsidRPr="002E5042">
        <w:rPr>
          <w:rFonts w:ascii="Calibri" w:hAnsi="Calibri"/>
          <w:bCs/>
          <w:sz w:val="22"/>
          <w:szCs w:val="22"/>
          <w:lang w:val="sk-SK"/>
        </w:rPr>
        <w:t xml:space="preserve"> Príplatok k</w:t>
      </w:r>
      <w:r w:rsidRPr="002E5042">
        <w:rPr>
          <w:rFonts w:ascii="Calibri" w:hAnsi="Calibri"/>
          <w:b/>
          <w:bCs/>
          <w:sz w:val="22"/>
          <w:szCs w:val="22"/>
          <w:lang w:val="sk-SK"/>
        </w:rPr>
        <w:t xml:space="preserve"> </w:t>
      </w:r>
      <w:r w:rsidRPr="002E5042">
        <w:rPr>
          <w:rFonts w:ascii="Calibri" w:hAnsi="Calibri"/>
          <w:sz w:val="22"/>
          <w:szCs w:val="22"/>
          <w:lang w:val="sk-SK"/>
        </w:rPr>
        <w:t>základnej kapitácii násobený počtom kapitovaných pacientov  u poskytovateľa,  ktorý poskytuje všeobecnú ambulantnú starostlivosť pre dospelých v sídle s viac ako 20% zastúpením rómskeho obyvateľstva podľa Atlasu rómskych komunít na Slovensku, pričom sa výsledná výška príplatku  koriguje násobkom koeficientu podľa celkového počtu obyvateľov v danom sídle: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0,08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20-40%</w:t>
      </w: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b/>
          <w:sz w:val="22"/>
          <w:szCs w:val="22"/>
          <w:lang w:val="sk-SK"/>
        </w:rPr>
        <w:t>0,12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40-60%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0,16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&gt;60%</w:t>
      </w: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200 – 500 obyvateľov: 0,5</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501 – 1500 obyvateľov: 1,0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&gt; 1501 obyvateľov: 1,5</w:t>
      </w:r>
    </w:p>
    <w:p w:rsidR="002E5042" w:rsidRPr="002E5042" w:rsidRDefault="002E5042" w:rsidP="002E5042">
      <w:pPr>
        <w:ind w:left="720"/>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b/>
          <w:sz w:val="22"/>
          <w:szCs w:val="22"/>
          <w:lang w:val="sk-SK"/>
        </w:rPr>
        <w:t xml:space="preserve">7.8.2. </w:t>
      </w:r>
      <w:r w:rsidRPr="002E5042">
        <w:rPr>
          <w:rFonts w:ascii="Calibri" w:hAnsi="Calibri"/>
          <w:sz w:val="22"/>
          <w:szCs w:val="22"/>
          <w:lang w:val="sk-SK"/>
        </w:rPr>
        <w:t>bonus sa starostlivosť o margianalizované komunity</w:t>
      </w:r>
      <w:r w:rsidRPr="002E5042">
        <w:rPr>
          <w:rFonts w:ascii="Calibri" w:hAnsi="Calibri"/>
          <w:b/>
          <w:sz w:val="22"/>
          <w:szCs w:val="22"/>
          <w:lang w:val="sk-SK"/>
        </w:rPr>
        <w:t xml:space="preserve"> </w:t>
      </w:r>
      <w:r w:rsidRPr="002E5042">
        <w:rPr>
          <w:rFonts w:ascii="Calibri" w:hAnsi="Calibri"/>
          <w:sz w:val="22"/>
          <w:szCs w:val="22"/>
          <w:lang w:val="sk-SK"/>
        </w:rPr>
        <w:t xml:space="preserve">patrí aj takému poskytovateľovi, ktorý poskytuje všeobecnú ambulantnú starostlivosť pre dospelých vo vzdialenosti </w:t>
      </w:r>
      <w:r w:rsidRPr="002E5042">
        <w:rPr>
          <w:rFonts w:ascii="Calibri" w:hAnsi="Calibri"/>
          <w:b/>
          <w:sz w:val="22"/>
          <w:szCs w:val="22"/>
          <w:lang w:val="sk-SK"/>
        </w:rPr>
        <w:t>najviac 7km od sídla</w:t>
      </w:r>
      <w:r w:rsidRPr="002E5042">
        <w:rPr>
          <w:rFonts w:ascii="Calibri" w:hAnsi="Calibri"/>
          <w:sz w:val="22"/>
          <w:szCs w:val="22"/>
          <w:lang w:val="sk-SK"/>
        </w:rPr>
        <w:t xml:space="preserve"> </w:t>
      </w:r>
      <w:r w:rsidRPr="002E5042">
        <w:rPr>
          <w:rFonts w:ascii="Calibri" w:hAnsi="Calibri"/>
          <w:sz w:val="22"/>
          <w:szCs w:val="22"/>
          <w:u w:val="single"/>
          <w:lang w:val="sk-SK"/>
        </w:rPr>
        <w:t>(viz.strana 79, odsek 3, riadok 2-3 Atlasu)</w:t>
      </w:r>
      <w:r w:rsidRPr="002E5042">
        <w:rPr>
          <w:rFonts w:ascii="Calibri" w:hAnsi="Calibri"/>
          <w:sz w:val="22"/>
          <w:szCs w:val="22"/>
          <w:lang w:val="sk-SK"/>
        </w:rPr>
        <w:t xml:space="preserve">, ktoré spĺňa podmienky nároku na bonus podľa bodu 7.8.1, </w:t>
      </w:r>
      <w:r w:rsidRPr="002E5042">
        <w:rPr>
          <w:rFonts w:ascii="Calibri" w:hAnsi="Calibri"/>
          <w:b/>
          <w:sz w:val="22"/>
          <w:szCs w:val="22"/>
          <w:lang w:val="sk-SK"/>
        </w:rPr>
        <w:t xml:space="preserve">ale v danom sídle sa nenachádza ambulancia VLD.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7.8.2.1.</w:t>
      </w:r>
      <w:r w:rsidRPr="002E5042">
        <w:rPr>
          <w:rFonts w:ascii="Calibri" w:hAnsi="Calibri"/>
          <w:b/>
          <w:sz w:val="22"/>
          <w:szCs w:val="22"/>
          <w:lang w:val="sk-SK"/>
        </w:rPr>
        <w:t xml:space="preserve"> </w:t>
      </w:r>
      <w:r w:rsidRPr="002E5042">
        <w:rPr>
          <w:rFonts w:ascii="Calibri" w:hAnsi="Calibri"/>
          <w:sz w:val="22"/>
          <w:szCs w:val="22"/>
          <w:lang w:val="sk-SK"/>
        </w:rPr>
        <w:t xml:space="preserve">v prípade, že sa k sídlu podľa predošlého bodu, v ktorom sa nenachádza ambulancia VLD,  vzťahuje </w:t>
      </w:r>
      <w:r w:rsidRPr="002E5042">
        <w:rPr>
          <w:rFonts w:ascii="Calibri" w:hAnsi="Calibri"/>
          <w:b/>
          <w:sz w:val="22"/>
          <w:szCs w:val="22"/>
          <w:lang w:val="sk-SK"/>
        </w:rPr>
        <w:t>viac ambulancií VLD v okruhu do 7km</w:t>
      </w:r>
      <w:r w:rsidRPr="002E5042">
        <w:rPr>
          <w:rFonts w:ascii="Calibri" w:hAnsi="Calibri"/>
          <w:sz w:val="22"/>
          <w:szCs w:val="22"/>
          <w:lang w:val="sk-SK"/>
        </w:rPr>
        <w:t xml:space="preserve">, patrí bonus všetkým ambulanciám, ale jeho </w:t>
      </w:r>
      <w:r w:rsidRPr="002E5042">
        <w:rPr>
          <w:rFonts w:ascii="Calibri" w:hAnsi="Calibri"/>
          <w:b/>
          <w:sz w:val="22"/>
          <w:szCs w:val="22"/>
          <w:lang w:val="sk-SK"/>
        </w:rPr>
        <w:t>vypočítaná hodnota sa kráti o polovicu</w:t>
      </w:r>
      <w:r w:rsidRPr="002E5042">
        <w:rPr>
          <w:rFonts w:ascii="Calibri" w:hAnsi="Calibri"/>
          <w:sz w:val="22"/>
          <w:szCs w:val="22"/>
          <w:lang w:val="sk-SK"/>
        </w:rPr>
        <w:t>.</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7.8.2.2.</w:t>
      </w:r>
      <w:r w:rsidRPr="002E5042">
        <w:rPr>
          <w:rFonts w:ascii="Calibri" w:hAnsi="Calibri"/>
          <w:sz w:val="22"/>
          <w:szCs w:val="22"/>
          <w:lang w:val="sk-SK"/>
        </w:rPr>
        <w:t xml:space="preserve"> v prípade, že sa v okruhu 7km vzťahuje k ambulancii VLD (ambulanciám VLD podľa bodu 7.8.2.1) </w:t>
      </w:r>
      <w:r w:rsidRPr="002E5042">
        <w:rPr>
          <w:rFonts w:ascii="Calibri" w:hAnsi="Calibri"/>
          <w:b/>
          <w:sz w:val="22"/>
          <w:szCs w:val="22"/>
          <w:lang w:val="sk-SK"/>
        </w:rPr>
        <w:t>viac sídel s podielom rómskeho obyvateľstva</w:t>
      </w:r>
      <w:r w:rsidRPr="002E5042">
        <w:rPr>
          <w:rFonts w:ascii="Calibri" w:hAnsi="Calibri"/>
          <w:sz w:val="22"/>
          <w:szCs w:val="22"/>
          <w:lang w:val="sk-SK"/>
        </w:rPr>
        <w:t xml:space="preserve"> podľa bodu 7.8.1., základom pre výpočet bonusu podľa bodu 7.8.1. je za účelom určenia korekčného koeficientu </w:t>
      </w:r>
      <w:r w:rsidRPr="002E5042">
        <w:rPr>
          <w:rFonts w:ascii="Calibri" w:hAnsi="Calibri"/>
          <w:b/>
          <w:sz w:val="22"/>
          <w:szCs w:val="22"/>
          <w:lang w:val="sk-SK"/>
        </w:rPr>
        <w:t>súčet celkového počtu obyvateľov</w:t>
      </w:r>
      <w:r w:rsidRPr="002E5042">
        <w:rPr>
          <w:rFonts w:ascii="Calibri" w:hAnsi="Calibri"/>
          <w:sz w:val="22"/>
          <w:szCs w:val="22"/>
          <w:lang w:val="sk-SK"/>
        </w:rPr>
        <w:t xml:space="preserve"> daných sídel a </w:t>
      </w:r>
      <w:r w:rsidRPr="002E5042">
        <w:rPr>
          <w:rFonts w:ascii="Calibri" w:hAnsi="Calibri"/>
          <w:b/>
          <w:sz w:val="22"/>
          <w:szCs w:val="22"/>
          <w:lang w:val="sk-SK"/>
        </w:rPr>
        <w:t>ako súčiniteľ</w:t>
      </w:r>
      <w:r w:rsidRPr="002E5042">
        <w:rPr>
          <w:rFonts w:ascii="Calibri" w:hAnsi="Calibri"/>
          <w:sz w:val="22"/>
          <w:szCs w:val="22"/>
          <w:lang w:val="sk-SK"/>
        </w:rPr>
        <w:t xml:space="preserve"> násobený počtom kapitovaných pacientov sa použije </w:t>
      </w:r>
      <w:r w:rsidRPr="002E5042">
        <w:rPr>
          <w:rFonts w:ascii="Calibri" w:hAnsi="Calibri"/>
          <w:b/>
          <w:sz w:val="22"/>
          <w:szCs w:val="22"/>
          <w:lang w:val="sk-SK"/>
        </w:rPr>
        <w:t>priemerná hodnota podielu rómskeho</w:t>
      </w:r>
      <w:r w:rsidRPr="002E5042">
        <w:rPr>
          <w:rFonts w:ascii="Calibri" w:hAnsi="Calibri"/>
          <w:sz w:val="22"/>
          <w:szCs w:val="22"/>
          <w:lang w:val="sk-SK"/>
        </w:rPr>
        <w:t xml:space="preserve">  obyvateľstva daných sídel</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7.8.2.3.</w:t>
      </w:r>
      <w:r w:rsidRPr="002E5042">
        <w:rPr>
          <w:rFonts w:ascii="Calibri" w:hAnsi="Calibri"/>
          <w:sz w:val="22"/>
          <w:szCs w:val="22"/>
          <w:lang w:val="sk-SK"/>
        </w:rPr>
        <w:t xml:space="preserve"> v prípade, že sa sídlo (sídla) podľa bodu 7.8.2 nachádza vo vzdialenosti viac ako 7km od akejkoľvek ambulancie VLD, bonus vypočítaný podľa  bodu 7.8.1 a 7.8.2.2 sa vypláca územne najbližšej ambulancii VLD (zohľadní sa dopravná infraštruktúra)</w:t>
      </w:r>
    </w:p>
    <w:p w:rsidR="002E5042" w:rsidRPr="002E5042" w:rsidRDefault="002E5042" w:rsidP="002E5042">
      <w:pPr>
        <w:contextualSpacing/>
        <w:rPr>
          <w:rFonts w:ascii="Calibri" w:hAnsi="Calibri"/>
          <w:b/>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Pr="00BF1005" w:rsidRDefault="004C4ADF" w:rsidP="004C4ADF">
      <w:pPr>
        <w:contextualSpacing/>
        <w:rPr>
          <w:rFonts w:ascii="Arial" w:hAnsi="Arial" w:cs="Arial"/>
          <w:sz w:val="22"/>
          <w:szCs w:val="22"/>
          <w:lang w:val="sk-SK"/>
        </w:rPr>
      </w:pPr>
      <w:r w:rsidRPr="00BF1005">
        <w:rPr>
          <w:rFonts w:ascii="Arial" w:hAnsi="Arial" w:cs="Arial"/>
          <w:b/>
          <w:color w:val="FF0000"/>
          <w:sz w:val="22"/>
          <w:szCs w:val="22"/>
          <w:lang w:val="sk-SK"/>
        </w:rPr>
        <w:t>8. zoznam výkonov ambulancie VLD</w:t>
      </w:r>
    </w:p>
    <w:p w:rsidR="004C4ADF" w:rsidRDefault="004C4ADF" w:rsidP="002E5042">
      <w:pPr>
        <w:contextualSpacing/>
        <w:rPr>
          <w:rFonts w:ascii="Calibri" w:hAnsi="Calibri"/>
          <w:sz w:val="22"/>
          <w:szCs w:val="22"/>
          <w:lang w:val="sk-SK"/>
        </w:rPr>
      </w:pPr>
    </w:p>
    <w:p w:rsidR="004C4ADF" w:rsidRDefault="004C4ADF" w:rsidP="002E5042">
      <w:pPr>
        <w:contextualSpacing/>
        <w:rPr>
          <w:rFonts w:ascii="Calibri" w:hAnsi="Calibri"/>
          <w:sz w:val="22"/>
          <w:szCs w:val="22"/>
          <w:lang w:val="sk-SK"/>
        </w:rPr>
      </w:pPr>
      <w:r w:rsidRPr="00B73212">
        <w:rPr>
          <w:rFonts w:ascii="Calibri" w:hAnsi="Calibri"/>
          <w:sz w:val="22"/>
          <w:szCs w:val="22"/>
          <w:lang w:val="sk-SK"/>
        </w:rPr>
        <w:t>Do zoznamu výkonov</w:t>
      </w:r>
      <w:r w:rsidRPr="009B3CBC">
        <w:rPr>
          <w:rFonts w:ascii="Calibri" w:hAnsi="Calibri"/>
          <w:sz w:val="22"/>
          <w:szCs w:val="22"/>
          <w:lang w:val="sk-SK"/>
        </w:rPr>
        <w:t xml:space="preserve"> navrhujeme</w:t>
      </w:r>
      <w:r>
        <w:rPr>
          <w:rFonts w:ascii="Calibri" w:hAnsi="Calibri"/>
          <w:sz w:val="22"/>
          <w:szCs w:val="22"/>
          <w:lang w:val="sk-SK"/>
        </w:rPr>
        <w:t xml:space="preserve"> v súlade s bodom 5.</w:t>
      </w:r>
      <w:r w:rsidRPr="009B3CBC">
        <w:rPr>
          <w:rFonts w:ascii="Calibri" w:hAnsi="Calibri"/>
          <w:sz w:val="22"/>
          <w:szCs w:val="22"/>
          <w:lang w:val="sk-SK"/>
        </w:rPr>
        <w:t xml:space="preserve"> prevziať vybrané výkony zo súčasného zoznamov výkonov jednotlivých zdravotných poisťovní a v potrebnom rozsahu primerane upraviť formulácie obsahu výkonov po odstránení sporných formulácií  a zjednotení označenia výkonov</w:t>
      </w:r>
      <w:r>
        <w:rPr>
          <w:rFonts w:ascii="Calibri" w:hAnsi="Calibri"/>
          <w:sz w:val="22"/>
          <w:szCs w:val="22"/>
          <w:lang w:val="sk-SK"/>
        </w:rPr>
        <w:t>.</w:t>
      </w: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4E2F1C" w:rsidRDefault="004E2F1C" w:rsidP="002E5042">
      <w:pPr>
        <w:contextualSpacing/>
        <w:rPr>
          <w:rFonts w:ascii="Calibri" w:hAnsi="Calibri"/>
          <w:sz w:val="22"/>
          <w:szCs w:val="22"/>
          <w:lang w:val="sk-SK"/>
        </w:rPr>
      </w:pPr>
    </w:p>
    <w:p w:rsidR="004E2F1C" w:rsidRDefault="004E2F1C" w:rsidP="002E5042">
      <w:pPr>
        <w:contextualSpacing/>
        <w:rPr>
          <w:rFonts w:ascii="Calibri" w:hAnsi="Calibri"/>
          <w:sz w:val="22"/>
          <w:szCs w:val="22"/>
          <w:lang w:val="sk-SK"/>
        </w:rPr>
      </w:pPr>
    </w:p>
    <w:p w:rsidR="004E2F1C" w:rsidRDefault="004E2F1C" w:rsidP="002E5042">
      <w:pPr>
        <w:contextualSpacing/>
        <w:rPr>
          <w:rFonts w:ascii="Calibri" w:hAnsi="Calibri"/>
          <w:sz w:val="22"/>
          <w:szCs w:val="22"/>
          <w:lang w:val="sk-SK"/>
        </w:rPr>
      </w:pPr>
    </w:p>
    <w:p w:rsidR="004E2F1C" w:rsidRDefault="004E2F1C"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C42AA9" w:rsidRDefault="00C42AA9" w:rsidP="002E5042">
      <w:pPr>
        <w:contextualSpacing/>
        <w:rPr>
          <w:rFonts w:ascii="Calibri" w:hAnsi="Calibri"/>
          <w:b/>
          <w:sz w:val="22"/>
          <w:szCs w:val="22"/>
          <w:lang w:val="sk-SK"/>
        </w:rPr>
      </w:pPr>
    </w:p>
    <w:p w:rsidR="002E5042" w:rsidRPr="00B73212" w:rsidRDefault="002E5042" w:rsidP="002E5042">
      <w:pPr>
        <w:contextualSpacing/>
        <w:rPr>
          <w:rFonts w:ascii="Calibri" w:hAnsi="Calibri"/>
          <w:b/>
          <w:sz w:val="22"/>
          <w:szCs w:val="22"/>
          <w:lang w:val="sk-SK"/>
        </w:rPr>
      </w:pPr>
      <w:r w:rsidRPr="00B73212">
        <w:rPr>
          <w:rFonts w:ascii="Calibri" w:hAnsi="Calibri"/>
          <w:b/>
          <w:sz w:val="22"/>
          <w:szCs w:val="22"/>
          <w:lang w:val="sk-SK"/>
        </w:rPr>
        <w:t>PRÍLOHY:</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1/ hustota osídlenia_NUTS_metodika_EUROSTAT.pdf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2/ Aktualizovane akcne plany strategie Slovenskej republiky pre integraciu Romov do roku 2020 na roky 2019-2020.pdf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3/ Atlas_rom_kom.pdf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 xml:space="preserve">4/ Atlas_2013_priloha.xlsx (2,3,4 na </w:t>
      </w:r>
      <w:hyperlink r:id="rId18" w:history="1">
        <w:r w:rsidRPr="002E5042">
          <w:rPr>
            <w:rStyle w:val="Hypertextovprepojenie"/>
            <w:rFonts w:ascii="Calibri" w:hAnsi="Calibri"/>
            <w:sz w:val="22"/>
            <w:szCs w:val="22"/>
            <w:lang w:val="sk-SK"/>
          </w:rPr>
          <w:t>https://www.minv.sk/?atlas_2013</w:t>
        </w:r>
      </w:hyperlink>
      <w:r w:rsidRPr="002E5042">
        <w:rPr>
          <w:rFonts w:ascii="Calibri" w:hAnsi="Calibri"/>
          <w:sz w:val="22"/>
          <w:szCs w:val="22"/>
          <w:lang w:val="sk-SK"/>
        </w:rPr>
        <w:t xml:space="preserve"> )</w:t>
      </w:r>
    </w:p>
    <w:p w:rsidR="00BA4212" w:rsidRPr="002E5042" w:rsidRDefault="00BA4212" w:rsidP="002E5042">
      <w:pPr>
        <w:contextualSpacing/>
        <w:rPr>
          <w:rFonts w:ascii="Calibri" w:hAnsi="Calibri"/>
          <w:sz w:val="22"/>
          <w:szCs w:val="22"/>
          <w:lang w:val="sk-SK"/>
        </w:rPr>
      </w:pPr>
    </w:p>
    <w:sectPr w:rsidR="00BA4212" w:rsidRPr="002E5042" w:rsidSect="00007BA2">
      <w:headerReference w:type="even" r:id="rId19"/>
      <w:headerReference w:type="default" r:id="rId20"/>
      <w:footerReference w:type="default" r:id="rId21"/>
      <w:headerReference w:type="first" r:id="rId22"/>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45" w:rsidRDefault="00FE5B45" w:rsidP="00AF768A">
      <w:r>
        <w:separator/>
      </w:r>
    </w:p>
  </w:endnote>
  <w:endnote w:type="continuationSeparator" w:id="1">
    <w:p w:rsidR="00FE5B45" w:rsidRDefault="00FE5B45" w:rsidP="00AF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05"/>
      <w:docPartObj>
        <w:docPartGallery w:val="Page Numbers (Bottom of Page)"/>
        <w:docPartUnique/>
      </w:docPartObj>
    </w:sdtPr>
    <w:sdtContent>
      <w:p w:rsidR="00F71CFA" w:rsidRDefault="00213568">
        <w:pPr>
          <w:pStyle w:val="Pta"/>
          <w:jc w:val="center"/>
        </w:pPr>
        <w:fldSimple w:instr=" PAGE   \* MERGEFORMAT ">
          <w:r w:rsidR="00FE5B45">
            <w:rPr>
              <w:noProof/>
            </w:rPr>
            <w:t>1</w:t>
          </w:r>
        </w:fldSimple>
      </w:p>
    </w:sdtContent>
  </w:sdt>
  <w:p w:rsidR="00F71CFA" w:rsidRDefault="00F71CF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45" w:rsidRDefault="00FE5B45" w:rsidP="00AF768A">
      <w:r>
        <w:separator/>
      </w:r>
    </w:p>
  </w:footnote>
  <w:footnote w:type="continuationSeparator" w:id="1">
    <w:p w:rsidR="00FE5B45" w:rsidRDefault="00FE5B45"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FA" w:rsidRDefault="00213568">
    <w:pPr>
      <w:pStyle w:val="Hlavika"/>
    </w:pPr>
    <w:r w:rsidRPr="00213568">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FA" w:rsidRDefault="00213568">
    <w:pPr>
      <w:pStyle w:val="Hlavika"/>
    </w:pPr>
    <w:r w:rsidRPr="00213568">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FA" w:rsidRDefault="00213568">
    <w:pPr>
      <w:pStyle w:val="Hlavika"/>
    </w:pPr>
    <w:r w:rsidRPr="00213568">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6F"/>
    <w:multiLevelType w:val="multilevel"/>
    <w:tmpl w:val="8B5CAB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496265D"/>
    <w:multiLevelType w:val="hybridMultilevel"/>
    <w:tmpl w:val="CF545CA0"/>
    <w:lvl w:ilvl="0" w:tplc="F4AABC7E">
      <w:start w:val="1"/>
      <w:numFmt w:val="bullet"/>
      <w:lvlText w:val="•"/>
      <w:lvlJc w:val="left"/>
      <w:pPr>
        <w:tabs>
          <w:tab w:val="num" w:pos="720"/>
        </w:tabs>
        <w:ind w:left="720" w:hanging="360"/>
      </w:pPr>
      <w:rPr>
        <w:rFonts w:ascii="Arial" w:hAnsi="Arial" w:hint="default"/>
      </w:rPr>
    </w:lvl>
    <w:lvl w:ilvl="1" w:tplc="CCBE3E1A" w:tentative="1">
      <w:start w:val="1"/>
      <w:numFmt w:val="bullet"/>
      <w:lvlText w:val="•"/>
      <w:lvlJc w:val="left"/>
      <w:pPr>
        <w:tabs>
          <w:tab w:val="num" w:pos="1440"/>
        </w:tabs>
        <w:ind w:left="1440" w:hanging="360"/>
      </w:pPr>
      <w:rPr>
        <w:rFonts w:ascii="Arial" w:hAnsi="Arial" w:hint="default"/>
      </w:rPr>
    </w:lvl>
    <w:lvl w:ilvl="2" w:tplc="ED961A78" w:tentative="1">
      <w:start w:val="1"/>
      <w:numFmt w:val="bullet"/>
      <w:lvlText w:val="•"/>
      <w:lvlJc w:val="left"/>
      <w:pPr>
        <w:tabs>
          <w:tab w:val="num" w:pos="2160"/>
        </w:tabs>
        <w:ind w:left="2160" w:hanging="360"/>
      </w:pPr>
      <w:rPr>
        <w:rFonts w:ascii="Arial" w:hAnsi="Arial" w:hint="default"/>
      </w:rPr>
    </w:lvl>
    <w:lvl w:ilvl="3" w:tplc="C4C2021A" w:tentative="1">
      <w:start w:val="1"/>
      <w:numFmt w:val="bullet"/>
      <w:lvlText w:val="•"/>
      <w:lvlJc w:val="left"/>
      <w:pPr>
        <w:tabs>
          <w:tab w:val="num" w:pos="2880"/>
        </w:tabs>
        <w:ind w:left="2880" w:hanging="360"/>
      </w:pPr>
      <w:rPr>
        <w:rFonts w:ascii="Arial" w:hAnsi="Arial" w:hint="default"/>
      </w:rPr>
    </w:lvl>
    <w:lvl w:ilvl="4" w:tplc="0B04F8AC" w:tentative="1">
      <w:start w:val="1"/>
      <w:numFmt w:val="bullet"/>
      <w:lvlText w:val="•"/>
      <w:lvlJc w:val="left"/>
      <w:pPr>
        <w:tabs>
          <w:tab w:val="num" w:pos="3600"/>
        </w:tabs>
        <w:ind w:left="3600" w:hanging="360"/>
      </w:pPr>
      <w:rPr>
        <w:rFonts w:ascii="Arial" w:hAnsi="Arial" w:hint="default"/>
      </w:rPr>
    </w:lvl>
    <w:lvl w:ilvl="5" w:tplc="70E8D992" w:tentative="1">
      <w:start w:val="1"/>
      <w:numFmt w:val="bullet"/>
      <w:lvlText w:val="•"/>
      <w:lvlJc w:val="left"/>
      <w:pPr>
        <w:tabs>
          <w:tab w:val="num" w:pos="4320"/>
        </w:tabs>
        <w:ind w:left="4320" w:hanging="360"/>
      </w:pPr>
      <w:rPr>
        <w:rFonts w:ascii="Arial" w:hAnsi="Arial" w:hint="default"/>
      </w:rPr>
    </w:lvl>
    <w:lvl w:ilvl="6" w:tplc="66B8047E" w:tentative="1">
      <w:start w:val="1"/>
      <w:numFmt w:val="bullet"/>
      <w:lvlText w:val="•"/>
      <w:lvlJc w:val="left"/>
      <w:pPr>
        <w:tabs>
          <w:tab w:val="num" w:pos="5040"/>
        </w:tabs>
        <w:ind w:left="5040" w:hanging="360"/>
      </w:pPr>
      <w:rPr>
        <w:rFonts w:ascii="Arial" w:hAnsi="Arial" w:hint="default"/>
      </w:rPr>
    </w:lvl>
    <w:lvl w:ilvl="7" w:tplc="934A1EE0" w:tentative="1">
      <w:start w:val="1"/>
      <w:numFmt w:val="bullet"/>
      <w:lvlText w:val="•"/>
      <w:lvlJc w:val="left"/>
      <w:pPr>
        <w:tabs>
          <w:tab w:val="num" w:pos="5760"/>
        </w:tabs>
        <w:ind w:left="5760" w:hanging="360"/>
      </w:pPr>
      <w:rPr>
        <w:rFonts w:ascii="Arial" w:hAnsi="Arial" w:hint="default"/>
      </w:rPr>
    </w:lvl>
    <w:lvl w:ilvl="8" w:tplc="C960FE6A" w:tentative="1">
      <w:start w:val="1"/>
      <w:numFmt w:val="bullet"/>
      <w:lvlText w:val="•"/>
      <w:lvlJc w:val="left"/>
      <w:pPr>
        <w:tabs>
          <w:tab w:val="num" w:pos="6480"/>
        </w:tabs>
        <w:ind w:left="6480" w:hanging="360"/>
      </w:pPr>
      <w:rPr>
        <w:rFonts w:ascii="Arial" w:hAnsi="Arial" w:hint="default"/>
      </w:rPr>
    </w:lvl>
  </w:abstractNum>
  <w:abstractNum w:abstractNumId="2">
    <w:nsid w:val="061D3088"/>
    <w:multiLevelType w:val="hybridMultilevel"/>
    <w:tmpl w:val="194A7F42"/>
    <w:lvl w:ilvl="0" w:tplc="76D6567C">
      <w:start w:val="1"/>
      <w:numFmt w:val="bullet"/>
      <w:lvlText w:val="•"/>
      <w:lvlJc w:val="left"/>
      <w:pPr>
        <w:tabs>
          <w:tab w:val="num" w:pos="720"/>
        </w:tabs>
        <w:ind w:left="720" w:hanging="360"/>
      </w:pPr>
      <w:rPr>
        <w:rFonts w:ascii="Arial" w:hAnsi="Arial" w:hint="default"/>
      </w:rPr>
    </w:lvl>
    <w:lvl w:ilvl="1" w:tplc="54BAF8DA" w:tentative="1">
      <w:start w:val="1"/>
      <w:numFmt w:val="bullet"/>
      <w:lvlText w:val="•"/>
      <w:lvlJc w:val="left"/>
      <w:pPr>
        <w:tabs>
          <w:tab w:val="num" w:pos="1440"/>
        </w:tabs>
        <w:ind w:left="1440" w:hanging="360"/>
      </w:pPr>
      <w:rPr>
        <w:rFonts w:ascii="Arial" w:hAnsi="Arial" w:hint="default"/>
      </w:rPr>
    </w:lvl>
    <w:lvl w:ilvl="2" w:tplc="7B2CCAF8" w:tentative="1">
      <w:start w:val="1"/>
      <w:numFmt w:val="bullet"/>
      <w:lvlText w:val="•"/>
      <w:lvlJc w:val="left"/>
      <w:pPr>
        <w:tabs>
          <w:tab w:val="num" w:pos="2160"/>
        </w:tabs>
        <w:ind w:left="2160" w:hanging="360"/>
      </w:pPr>
      <w:rPr>
        <w:rFonts w:ascii="Arial" w:hAnsi="Arial" w:hint="default"/>
      </w:rPr>
    </w:lvl>
    <w:lvl w:ilvl="3" w:tplc="1B90DED8" w:tentative="1">
      <w:start w:val="1"/>
      <w:numFmt w:val="bullet"/>
      <w:lvlText w:val="•"/>
      <w:lvlJc w:val="left"/>
      <w:pPr>
        <w:tabs>
          <w:tab w:val="num" w:pos="2880"/>
        </w:tabs>
        <w:ind w:left="2880" w:hanging="360"/>
      </w:pPr>
      <w:rPr>
        <w:rFonts w:ascii="Arial" w:hAnsi="Arial" w:hint="default"/>
      </w:rPr>
    </w:lvl>
    <w:lvl w:ilvl="4" w:tplc="C20254B8" w:tentative="1">
      <w:start w:val="1"/>
      <w:numFmt w:val="bullet"/>
      <w:lvlText w:val="•"/>
      <w:lvlJc w:val="left"/>
      <w:pPr>
        <w:tabs>
          <w:tab w:val="num" w:pos="3600"/>
        </w:tabs>
        <w:ind w:left="3600" w:hanging="360"/>
      </w:pPr>
      <w:rPr>
        <w:rFonts w:ascii="Arial" w:hAnsi="Arial" w:hint="default"/>
      </w:rPr>
    </w:lvl>
    <w:lvl w:ilvl="5" w:tplc="927C0346" w:tentative="1">
      <w:start w:val="1"/>
      <w:numFmt w:val="bullet"/>
      <w:lvlText w:val="•"/>
      <w:lvlJc w:val="left"/>
      <w:pPr>
        <w:tabs>
          <w:tab w:val="num" w:pos="4320"/>
        </w:tabs>
        <w:ind w:left="4320" w:hanging="360"/>
      </w:pPr>
      <w:rPr>
        <w:rFonts w:ascii="Arial" w:hAnsi="Arial" w:hint="default"/>
      </w:rPr>
    </w:lvl>
    <w:lvl w:ilvl="6" w:tplc="D36C5056" w:tentative="1">
      <w:start w:val="1"/>
      <w:numFmt w:val="bullet"/>
      <w:lvlText w:val="•"/>
      <w:lvlJc w:val="left"/>
      <w:pPr>
        <w:tabs>
          <w:tab w:val="num" w:pos="5040"/>
        </w:tabs>
        <w:ind w:left="5040" w:hanging="360"/>
      </w:pPr>
      <w:rPr>
        <w:rFonts w:ascii="Arial" w:hAnsi="Arial" w:hint="default"/>
      </w:rPr>
    </w:lvl>
    <w:lvl w:ilvl="7" w:tplc="8B302B12" w:tentative="1">
      <w:start w:val="1"/>
      <w:numFmt w:val="bullet"/>
      <w:lvlText w:val="•"/>
      <w:lvlJc w:val="left"/>
      <w:pPr>
        <w:tabs>
          <w:tab w:val="num" w:pos="5760"/>
        </w:tabs>
        <w:ind w:left="5760" w:hanging="360"/>
      </w:pPr>
      <w:rPr>
        <w:rFonts w:ascii="Arial" w:hAnsi="Arial" w:hint="default"/>
      </w:rPr>
    </w:lvl>
    <w:lvl w:ilvl="8" w:tplc="BDC851A8" w:tentative="1">
      <w:start w:val="1"/>
      <w:numFmt w:val="bullet"/>
      <w:lvlText w:val="•"/>
      <w:lvlJc w:val="left"/>
      <w:pPr>
        <w:tabs>
          <w:tab w:val="num" w:pos="6480"/>
        </w:tabs>
        <w:ind w:left="6480" w:hanging="360"/>
      </w:pPr>
      <w:rPr>
        <w:rFonts w:ascii="Arial" w:hAnsi="Arial" w:hint="default"/>
      </w:rPr>
    </w:lvl>
  </w:abstractNum>
  <w:abstractNum w:abstractNumId="3">
    <w:nsid w:val="068A1B5F"/>
    <w:multiLevelType w:val="multilevel"/>
    <w:tmpl w:val="899819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C347F1"/>
    <w:multiLevelType w:val="multilevel"/>
    <w:tmpl w:val="4AA63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13C4CF8"/>
    <w:multiLevelType w:val="hybridMultilevel"/>
    <w:tmpl w:val="FF121BF2"/>
    <w:lvl w:ilvl="0" w:tplc="65A2797C">
      <w:start w:val="1"/>
      <w:numFmt w:val="bullet"/>
      <w:lvlText w:val="•"/>
      <w:lvlJc w:val="left"/>
      <w:pPr>
        <w:tabs>
          <w:tab w:val="num" w:pos="720"/>
        </w:tabs>
        <w:ind w:left="720" w:hanging="360"/>
      </w:pPr>
      <w:rPr>
        <w:rFonts w:ascii="Arial" w:hAnsi="Arial" w:hint="default"/>
      </w:rPr>
    </w:lvl>
    <w:lvl w:ilvl="1" w:tplc="EDA0AC58" w:tentative="1">
      <w:start w:val="1"/>
      <w:numFmt w:val="bullet"/>
      <w:lvlText w:val="•"/>
      <w:lvlJc w:val="left"/>
      <w:pPr>
        <w:tabs>
          <w:tab w:val="num" w:pos="1440"/>
        </w:tabs>
        <w:ind w:left="1440" w:hanging="360"/>
      </w:pPr>
      <w:rPr>
        <w:rFonts w:ascii="Arial" w:hAnsi="Arial" w:hint="default"/>
      </w:rPr>
    </w:lvl>
    <w:lvl w:ilvl="2" w:tplc="3790E130" w:tentative="1">
      <w:start w:val="1"/>
      <w:numFmt w:val="bullet"/>
      <w:lvlText w:val="•"/>
      <w:lvlJc w:val="left"/>
      <w:pPr>
        <w:tabs>
          <w:tab w:val="num" w:pos="2160"/>
        </w:tabs>
        <w:ind w:left="2160" w:hanging="360"/>
      </w:pPr>
      <w:rPr>
        <w:rFonts w:ascii="Arial" w:hAnsi="Arial" w:hint="default"/>
      </w:rPr>
    </w:lvl>
    <w:lvl w:ilvl="3" w:tplc="6B368B6E" w:tentative="1">
      <w:start w:val="1"/>
      <w:numFmt w:val="bullet"/>
      <w:lvlText w:val="•"/>
      <w:lvlJc w:val="left"/>
      <w:pPr>
        <w:tabs>
          <w:tab w:val="num" w:pos="2880"/>
        </w:tabs>
        <w:ind w:left="2880" w:hanging="360"/>
      </w:pPr>
      <w:rPr>
        <w:rFonts w:ascii="Arial" w:hAnsi="Arial" w:hint="default"/>
      </w:rPr>
    </w:lvl>
    <w:lvl w:ilvl="4" w:tplc="9AD8BF7C" w:tentative="1">
      <w:start w:val="1"/>
      <w:numFmt w:val="bullet"/>
      <w:lvlText w:val="•"/>
      <w:lvlJc w:val="left"/>
      <w:pPr>
        <w:tabs>
          <w:tab w:val="num" w:pos="3600"/>
        </w:tabs>
        <w:ind w:left="3600" w:hanging="360"/>
      </w:pPr>
      <w:rPr>
        <w:rFonts w:ascii="Arial" w:hAnsi="Arial" w:hint="default"/>
      </w:rPr>
    </w:lvl>
    <w:lvl w:ilvl="5" w:tplc="B2EEEA72" w:tentative="1">
      <w:start w:val="1"/>
      <w:numFmt w:val="bullet"/>
      <w:lvlText w:val="•"/>
      <w:lvlJc w:val="left"/>
      <w:pPr>
        <w:tabs>
          <w:tab w:val="num" w:pos="4320"/>
        </w:tabs>
        <w:ind w:left="4320" w:hanging="360"/>
      </w:pPr>
      <w:rPr>
        <w:rFonts w:ascii="Arial" w:hAnsi="Arial" w:hint="default"/>
      </w:rPr>
    </w:lvl>
    <w:lvl w:ilvl="6" w:tplc="C58876F2" w:tentative="1">
      <w:start w:val="1"/>
      <w:numFmt w:val="bullet"/>
      <w:lvlText w:val="•"/>
      <w:lvlJc w:val="left"/>
      <w:pPr>
        <w:tabs>
          <w:tab w:val="num" w:pos="5040"/>
        </w:tabs>
        <w:ind w:left="5040" w:hanging="360"/>
      </w:pPr>
      <w:rPr>
        <w:rFonts w:ascii="Arial" w:hAnsi="Arial" w:hint="default"/>
      </w:rPr>
    </w:lvl>
    <w:lvl w:ilvl="7" w:tplc="A372C952" w:tentative="1">
      <w:start w:val="1"/>
      <w:numFmt w:val="bullet"/>
      <w:lvlText w:val="•"/>
      <w:lvlJc w:val="left"/>
      <w:pPr>
        <w:tabs>
          <w:tab w:val="num" w:pos="5760"/>
        </w:tabs>
        <w:ind w:left="5760" w:hanging="360"/>
      </w:pPr>
      <w:rPr>
        <w:rFonts w:ascii="Arial" w:hAnsi="Arial" w:hint="default"/>
      </w:rPr>
    </w:lvl>
    <w:lvl w:ilvl="8" w:tplc="DDE429AC" w:tentative="1">
      <w:start w:val="1"/>
      <w:numFmt w:val="bullet"/>
      <w:lvlText w:val="•"/>
      <w:lvlJc w:val="left"/>
      <w:pPr>
        <w:tabs>
          <w:tab w:val="num" w:pos="6480"/>
        </w:tabs>
        <w:ind w:left="6480" w:hanging="360"/>
      </w:pPr>
      <w:rPr>
        <w:rFonts w:ascii="Arial" w:hAnsi="Arial" w:hint="default"/>
      </w:rPr>
    </w:lvl>
  </w:abstractNum>
  <w:abstractNum w:abstractNumId="6">
    <w:nsid w:val="18A36057"/>
    <w:multiLevelType w:val="multilevel"/>
    <w:tmpl w:val="8E3624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3DA0C43"/>
    <w:multiLevelType w:val="hybridMultilevel"/>
    <w:tmpl w:val="1CCE5810"/>
    <w:lvl w:ilvl="0" w:tplc="B4AE2E2A">
      <w:start w:val="1"/>
      <w:numFmt w:val="bullet"/>
      <w:lvlText w:val="•"/>
      <w:lvlJc w:val="left"/>
      <w:pPr>
        <w:tabs>
          <w:tab w:val="num" w:pos="720"/>
        </w:tabs>
        <w:ind w:left="720" w:hanging="360"/>
      </w:pPr>
      <w:rPr>
        <w:rFonts w:ascii="Arial" w:hAnsi="Arial" w:hint="default"/>
      </w:rPr>
    </w:lvl>
    <w:lvl w:ilvl="1" w:tplc="4BAEC6D4" w:tentative="1">
      <w:start w:val="1"/>
      <w:numFmt w:val="bullet"/>
      <w:lvlText w:val="•"/>
      <w:lvlJc w:val="left"/>
      <w:pPr>
        <w:tabs>
          <w:tab w:val="num" w:pos="1440"/>
        </w:tabs>
        <w:ind w:left="1440" w:hanging="360"/>
      </w:pPr>
      <w:rPr>
        <w:rFonts w:ascii="Arial" w:hAnsi="Arial" w:hint="default"/>
      </w:rPr>
    </w:lvl>
    <w:lvl w:ilvl="2" w:tplc="373097A0" w:tentative="1">
      <w:start w:val="1"/>
      <w:numFmt w:val="bullet"/>
      <w:lvlText w:val="•"/>
      <w:lvlJc w:val="left"/>
      <w:pPr>
        <w:tabs>
          <w:tab w:val="num" w:pos="2160"/>
        </w:tabs>
        <w:ind w:left="2160" w:hanging="360"/>
      </w:pPr>
      <w:rPr>
        <w:rFonts w:ascii="Arial" w:hAnsi="Arial" w:hint="default"/>
      </w:rPr>
    </w:lvl>
    <w:lvl w:ilvl="3" w:tplc="78584C52" w:tentative="1">
      <w:start w:val="1"/>
      <w:numFmt w:val="bullet"/>
      <w:lvlText w:val="•"/>
      <w:lvlJc w:val="left"/>
      <w:pPr>
        <w:tabs>
          <w:tab w:val="num" w:pos="2880"/>
        </w:tabs>
        <w:ind w:left="2880" w:hanging="360"/>
      </w:pPr>
      <w:rPr>
        <w:rFonts w:ascii="Arial" w:hAnsi="Arial" w:hint="default"/>
      </w:rPr>
    </w:lvl>
    <w:lvl w:ilvl="4" w:tplc="4252C12C" w:tentative="1">
      <w:start w:val="1"/>
      <w:numFmt w:val="bullet"/>
      <w:lvlText w:val="•"/>
      <w:lvlJc w:val="left"/>
      <w:pPr>
        <w:tabs>
          <w:tab w:val="num" w:pos="3600"/>
        </w:tabs>
        <w:ind w:left="3600" w:hanging="360"/>
      </w:pPr>
      <w:rPr>
        <w:rFonts w:ascii="Arial" w:hAnsi="Arial" w:hint="default"/>
      </w:rPr>
    </w:lvl>
    <w:lvl w:ilvl="5" w:tplc="482AF8F6" w:tentative="1">
      <w:start w:val="1"/>
      <w:numFmt w:val="bullet"/>
      <w:lvlText w:val="•"/>
      <w:lvlJc w:val="left"/>
      <w:pPr>
        <w:tabs>
          <w:tab w:val="num" w:pos="4320"/>
        </w:tabs>
        <w:ind w:left="4320" w:hanging="360"/>
      </w:pPr>
      <w:rPr>
        <w:rFonts w:ascii="Arial" w:hAnsi="Arial" w:hint="default"/>
      </w:rPr>
    </w:lvl>
    <w:lvl w:ilvl="6" w:tplc="99DAD360" w:tentative="1">
      <w:start w:val="1"/>
      <w:numFmt w:val="bullet"/>
      <w:lvlText w:val="•"/>
      <w:lvlJc w:val="left"/>
      <w:pPr>
        <w:tabs>
          <w:tab w:val="num" w:pos="5040"/>
        </w:tabs>
        <w:ind w:left="5040" w:hanging="360"/>
      </w:pPr>
      <w:rPr>
        <w:rFonts w:ascii="Arial" w:hAnsi="Arial" w:hint="default"/>
      </w:rPr>
    </w:lvl>
    <w:lvl w:ilvl="7" w:tplc="CA884548" w:tentative="1">
      <w:start w:val="1"/>
      <w:numFmt w:val="bullet"/>
      <w:lvlText w:val="•"/>
      <w:lvlJc w:val="left"/>
      <w:pPr>
        <w:tabs>
          <w:tab w:val="num" w:pos="5760"/>
        </w:tabs>
        <w:ind w:left="5760" w:hanging="360"/>
      </w:pPr>
      <w:rPr>
        <w:rFonts w:ascii="Arial" w:hAnsi="Arial" w:hint="default"/>
      </w:rPr>
    </w:lvl>
    <w:lvl w:ilvl="8" w:tplc="5E741A20" w:tentative="1">
      <w:start w:val="1"/>
      <w:numFmt w:val="bullet"/>
      <w:lvlText w:val="•"/>
      <w:lvlJc w:val="left"/>
      <w:pPr>
        <w:tabs>
          <w:tab w:val="num" w:pos="6480"/>
        </w:tabs>
        <w:ind w:left="6480" w:hanging="360"/>
      </w:pPr>
      <w:rPr>
        <w:rFonts w:ascii="Arial" w:hAnsi="Arial" w:hint="default"/>
      </w:rPr>
    </w:lvl>
  </w:abstractNum>
  <w:abstractNum w:abstractNumId="8">
    <w:nsid w:val="29264FB8"/>
    <w:multiLevelType w:val="multilevel"/>
    <w:tmpl w:val="216ED3A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2B3725E0"/>
    <w:multiLevelType w:val="multilevel"/>
    <w:tmpl w:val="9586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44580D"/>
    <w:multiLevelType w:val="hybridMultilevel"/>
    <w:tmpl w:val="4178E3C0"/>
    <w:lvl w:ilvl="0" w:tplc="E1A8AB32">
      <w:start w:val="1"/>
      <w:numFmt w:val="bullet"/>
      <w:lvlText w:val="•"/>
      <w:lvlJc w:val="left"/>
      <w:pPr>
        <w:tabs>
          <w:tab w:val="num" w:pos="720"/>
        </w:tabs>
        <w:ind w:left="720" w:hanging="360"/>
      </w:pPr>
      <w:rPr>
        <w:rFonts w:ascii="Arial" w:hAnsi="Arial" w:hint="default"/>
      </w:rPr>
    </w:lvl>
    <w:lvl w:ilvl="1" w:tplc="4B8CCB4C" w:tentative="1">
      <w:start w:val="1"/>
      <w:numFmt w:val="bullet"/>
      <w:lvlText w:val="•"/>
      <w:lvlJc w:val="left"/>
      <w:pPr>
        <w:tabs>
          <w:tab w:val="num" w:pos="1440"/>
        </w:tabs>
        <w:ind w:left="1440" w:hanging="360"/>
      </w:pPr>
      <w:rPr>
        <w:rFonts w:ascii="Arial" w:hAnsi="Arial" w:hint="default"/>
      </w:rPr>
    </w:lvl>
    <w:lvl w:ilvl="2" w:tplc="D6145796" w:tentative="1">
      <w:start w:val="1"/>
      <w:numFmt w:val="bullet"/>
      <w:lvlText w:val="•"/>
      <w:lvlJc w:val="left"/>
      <w:pPr>
        <w:tabs>
          <w:tab w:val="num" w:pos="2160"/>
        </w:tabs>
        <w:ind w:left="2160" w:hanging="360"/>
      </w:pPr>
      <w:rPr>
        <w:rFonts w:ascii="Arial" w:hAnsi="Arial" w:hint="default"/>
      </w:rPr>
    </w:lvl>
    <w:lvl w:ilvl="3" w:tplc="76AAFD2A" w:tentative="1">
      <w:start w:val="1"/>
      <w:numFmt w:val="bullet"/>
      <w:lvlText w:val="•"/>
      <w:lvlJc w:val="left"/>
      <w:pPr>
        <w:tabs>
          <w:tab w:val="num" w:pos="2880"/>
        </w:tabs>
        <w:ind w:left="2880" w:hanging="360"/>
      </w:pPr>
      <w:rPr>
        <w:rFonts w:ascii="Arial" w:hAnsi="Arial" w:hint="default"/>
      </w:rPr>
    </w:lvl>
    <w:lvl w:ilvl="4" w:tplc="EC8657AC" w:tentative="1">
      <w:start w:val="1"/>
      <w:numFmt w:val="bullet"/>
      <w:lvlText w:val="•"/>
      <w:lvlJc w:val="left"/>
      <w:pPr>
        <w:tabs>
          <w:tab w:val="num" w:pos="3600"/>
        </w:tabs>
        <w:ind w:left="3600" w:hanging="360"/>
      </w:pPr>
      <w:rPr>
        <w:rFonts w:ascii="Arial" w:hAnsi="Arial" w:hint="default"/>
      </w:rPr>
    </w:lvl>
    <w:lvl w:ilvl="5" w:tplc="D00043CC" w:tentative="1">
      <w:start w:val="1"/>
      <w:numFmt w:val="bullet"/>
      <w:lvlText w:val="•"/>
      <w:lvlJc w:val="left"/>
      <w:pPr>
        <w:tabs>
          <w:tab w:val="num" w:pos="4320"/>
        </w:tabs>
        <w:ind w:left="4320" w:hanging="360"/>
      </w:pPr>
      <w:rPr>
        <w:rFonts w:ascii="Arial" w:hAnsi="Arial" w:hint="default"/>
      </w:rPr>
    </w:lvl>
    <w:lvl w:ilvl="6" w:tplc="755EF472" w:tentative="1">
      <w:start w:val="1"/>
      <w:numFmt w:val="bullet"/>
      <w:lvlText w:val="•"/>
      <w:lvlJc w:val="left"/>
      <w:pPr>
        <w:tabs>
          <w:tab w:val="num" w:pos="5040"/>
        </w:tabs>
        <w:ind w:left="5040" w:hanging="360"/>
      </w:pPr>
      <w:rPr>
        <w:rFonts w:ascii="Arial" w:hAnsi="Arial" w:hint="default"/>
      </w:rPr>
    </w:lvl>
    <w:lvl w:ilvl="7" w:tplc="8578D2F0" w:tentative="1">
      <w:start w:val="1"/>
      <w:numFmt w:val="bullet"/>
      <w:lvlText w:val="•"/>
      <w:lvlJc w:val="left"/>
      <w:pPr>
        <w:tabs>
          <w:tab w:val="num" w:pos="5760"/>
        </w:tabs>
        <w:ind w:left="5760" w:hanging="360"/>
      </w:pPr>
      <w:rPr>
        <w:rFonts w:ascii="Arial" w:hAnsi="Arial" w:hint="default"/>
      </w:rPr>
    </w:lvl>
    <w:lvl w:ilvl="8" w:tplc="DB502EB4" w:tentative="1">
      <w:start w:val="1"/>
      <w:numFmt w:val="bullet"/>
      <w:lvlText w:val="•"/>
      <w:lvlJc w:val="left"/>
      <w:pPr>
        <w:tabs>
          <w:tab w:val="num" w:pos="6480"/>
        </w:tabs>
        <w:ind w:left="6480" w:hanging="360"/>
      </w:pPr>
      <w:rPr>
        <w:rFonts w:ascii="Arial" w:hAnsi="Arial" w:hint="default"/>
      </w:rPr>
    </w:lvl>
  </w:abstractNum>
  <w:abstractNum w:abstractNumId="11">
    <w:nsid w:val="38BC3DA4"/>
    <w:multiLevelType w:val="multilevel"/>
    <w:tmpl w:val="1E9237D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40DE456A"/>
    <w:multiLevelType w:val="multilevel"/>
    <w:tmpl w:val="792AE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0DF7DCC"/>
    <w:multiLevelType w:val="hybridMultilevel"/>
    <w:tmpl w:val="AF76B44E"/>
    <w:lvl w:ilvl="0" w:tplc="B98CD924">
      <w:start w:val="1"/>
      <w:numFmt w:val="bullet"/>
      <w:lvlText w:val="•"/>
      <w:lvlJc w:val="left"/>
      <w:pPr>
        <w:tabs>
          <w:tab w:val="num" w:pos="720"/>
        </w:tabs>
        <w:ind w:left="720" w:hanging="360"/>
      </w:pPr>
      <w:rPr>
        <w:rFonts w:ascii="Arial" w:hAnsi="Arial" w:hint="default"/>
      </w:rPr>
    </w:lvl>
    <w:lvl w:ilvl="1" w:tplc="F99A18FE" w:tentative="1">
      <w:start w:val="1"/>
      <w:numFmt w:val="bullet"/>
      <w:lvlText w:val="•"/>
      <w:lvlJc w:val="left"/>
      <w:pPr>
        <w:tabs>
          <w:tab w:val="num" w:pos="1440"/>
        </w:tabs>
        <w:ind w:left="1440" w:hanging="360"/>
      </w:pPr>
      <w:rPr>
        <w:rFonts w:ascii="Arial" w:hAnsi="Arial" w:hint="default"/>
      </w:rPr>
    </w:lvl>
    <w:lvl w:ilvl="2" w:tplc="47D2CBFE" w:tentative="1">
      <w:start w:val="1"/>
      <w:numFmt w:val="bullet"/>
      <w:lvlText w:val="•"/>
      <w:lvlJc w:val="left"/>
      <w:pPr>
        <w:tabs>
          <w:tab w:val="num" w:pos="2160"/>
        </w:tabs>
        <w:ind w:left="2160" w:hanging="360"/>
      </w:pPr>
      <w:rPr>
        <w:rFonts w:ascii="Arial" w:hAnsi="Arial" w:hint="default"/>
      </w:rPr>
    </w:lvl>
    <w:lvl w:ilvl="3" w:tplc="85B052A8" w:tentative="1">
      <w:start w:val="1"/>
      <w:numFmt w:val="bullet"/>
      <w:lvlText w:val="•"/>
      <w:lvlJc w:val="left"/>
      <w:pPr>
        <w:tabs>
          <w:tab w:val="num" w:pos="2880"/>
        </w:tabs>
        <w:ind w:left="2880" w:hanging="360"/>
      </w:pPr>
      <w:rPr>
        <w:rFonts w:ascii="Arial" w:hAnsi="Arial" w:hint="default"/>
      </w:rPr>
    </w:lvl>
    <w:lvl w:ilvl="4" w:tplc="88CA4A52" w:tentative="1">
      <w:start w:val="1"/>
      <w:numFmt w:val="bullet"/>
      <w:lvlText w:val="•"/>
      <w:lvlJc w:val="left"/>
      <w:pPr>
        <w:tabs>
          <w:tab w:val="num" w:pos="3600"/>
        </w:tabs>
        <w:ind w:left="3600" w:hanging="360"/>
      </w:pPr>
      <w:rPr>
        <w:rFonts w:ascii="Arial" w:hAnsi="Arial" w:hint="default"/>
      </w:rPr>
    </w:lvl>
    <w:lvl w:ilvl="5" w:tplc="824C0BE8" w:tentative="1">
      <w:start w:val="1"/>
      <w:numFmt w:val="bullet"/>
      <w:lvlText w:val="•"/>
      <w:lvlJc w:val="left"/>
      <w:pPr>
        <w:tabs>
          <w:tab w:val="num" w:pos="4320"/>
        </w:tabs>
        <w:ind w:left="4320" w:hanging="360"/>
      </w:pPr>
      <w:rPr>
        <w:rFonts w:ascii="Arial" w:hAnsi="Arial" w:hint="default"/>
      </w:rPr>
    </w:lvl>
    <w:lvl w:ilvl="6" w:tplc="06703538" w:tentative="1">
      <w:start w:val="1"/>
      <w:numFmt w:val="bullet"/>
      <w:lvlText w:val="•"/>
      <w:lvlJc w:val="left"/>
      <w:pPr>
        <w:tabs>
          <w:tab w:val="num" w:pos="5040"/>
        </w:tabs>
        <w:ind w:left="5040" w:hanging="360"/>
      </w:pPr>
      <w:rPr>
        <w:rFonts w:ascii="Arial" w:hAnsi="Arial" w:hint="default"/>
      </w:rPr>
    </w:lvl>
    <w:lvl w:ilvl="7" w:tplc="F14EDE9C" w:tentative="1">
      <w:start w:val="1"/>
      <w:numFmt w:val="bullet"/>
      <w:lvlText w:val="•"/>
      <w:lvlJc w:val="left"/>
      <w:pPr>
        <w:tabs>
          <w:tab w:val="num" w:pos="5760"/>
        </w:tabs>
        <w:ind w:left="5760" w:hanging="360"/>
      </w:pPr>
      <w:rPr>
        <w:rFonts w:ascii="Arial" w:hAnsi="Arial" w:hint="default"/>
      </w:rPr>
    </w:lvl>
    <w:lvl w:ilvl="8" w:tplc="BFB64F84" w:tentative="1">
      <w:start w:val="1"/>
      <w:numFmt w:val="bullet"/>
      <w:lvlText w:val="•"/>
      <w:lvlJc w:val="left"/>
      <w:pPr>
        <w:tabs>
          <w:tab w:val="num" w:pos="6480"/>
        </w:tabs>
        <w:ind w:left="6480" w:hanging="360"/>
      </w:pPr>
      <w:rPr>
        <w:rFonts w:ascii="Arial" w:hAnsi="Arial" w:hint="default"/>
      </w:rPr>
    </w:lvl>
  </w:abstractNum>
  <w:abstractNum w:abstractNumId="14">
    <w:nsid w:val="419C4072"/>
    <w:multiLevelType w:val="hybridMultilevel"/>
    <w:tmpl w:val="4F6E9386"/>
    <w:lvl w:ilvl="0" w:tplc="1892036A">
      <w:start w:val="1"/>
      <w:numFmt w:val="bullet"/>
      <w:lvlText w:val="•"/>
      <w:lvlJc w:val="left"/>
      <w:pPr>
        <w:tabs>
          <w:tab w:val="num" w:pos="720"/>
        </w:tabs>
        <w:ind w:left="720" w:hanging="360"/>
      </w:pPr>
      <w:rPr>
        <w:rFonts w:ascii="Arial" w:hAnsi="Arial" w:hint="default"/>
      </w:rPr>
    </w:lvl>
    <w:lvl w:ilvl="1" w:tplc="573C0580" w:tentative="1">
      <w:start w:val="1"/>
      <w:numFmt w:val="bullet"/>
      <w:lvlText w:val="•"/>
      <w:lvlJc w:val="left"/>
      <w:pPr>
        <w:tabs>
          <w:tab w:val="num" w:pos="1440"/>
        </w:tabs>
        <w:ind w:left="1440" w:hanging="360"/>
      </w:pPr>
      <w:rPr>
        <w:rFonts w:ascii="Arial" w:hAnsi="Arial" w:hint="default"/>
      </w:rPr>
    </w:lvl>
    <w:lvl w:ilvl="2" w:tplc="79981DD0" w:tentative="1">
      <w:start w:val="1"/>
      <w:numFmt w:val="bullet"/>
      <w:lvlText w:val="•"/>
      <w:lvlJc w:val="left"/>
      <w:pPr>
        <w:tabs>
          <w:tab w:val="num" w:pos="2160"/>
        </w:tabs>
        <w:ind w:left="2160" w:hanging="360"/>
      </w:pPr>
      <w:rPr>
        <w:rFonts w:ascii="Arial" w:hAnsi="Arial" w:hint="default"/>
      </w:rPr>
    </w:lvl>
    <w:lvl w:ilvl="3" w:tplc="0B0E7CD6" w:tentative="1">
      <w:start w:val="1"/>
      <w:numFmt w:val="bullet"/>
      <w:lvlText w:val="•"/>
      <w:lvlJc w:val="left"/>
      <w:pPr>
        <w:tabs>
          <w:tab w:val="num" w:pos="2880"/>
        </w:tabs>
        <w:ind w:left="2880" w:hanging="360"/>
      </w:pPr>
      <w:rPr>
        <w:rFonts w:ascii="Arial" w:hAnsi="Arial" w:hint="default"/>
      </w:rPr>
    </w:lvl>
    <w:lvl w:ilvl="4" w:tplc="A7388DE0" w:tentative="1">
      <w:start w:val="1"/>
      <w:numFmt w:val="bullet"/>
      <w:lvlText w:val="•"/>
      <w:lvlJc w:val="left"/>
      <w:pPr>
        <w:tabs>
          <w:tab w:val="num" w:pos="3600"/>
        </w:tabs>
        <w:ind w:left="3600" w:hanging="360"/>
      </w:pPr>
      <w:rPr>
        <w:rFonts w:ascii="Arial" w:hAnsi="Arial" w:hint="default"/>
      </w:rPr>
    </w:lvl>
    <w:lvl w:ilvl="5" w:tplc="6CC09F62" w:tentative="1">
      <w:start w:val="1"/>
      <w:numFmt w:val="bullet"/>
      <w:lvlText w:val="•"/>
      <w:lvlJc w:val="left"/>
      <w:pPr>
        <w:tabs>
          <w:tab w:val="num" w:pos="4320"/>
        </w:tabs>
        <w:ind w:left="4320" w:hanging="360"/>
      </w:pPr>
      <w:rPr>
        <w:rFonts w:ascii="Arial" w:hAnsi="Arial" w:hint="default"/>
      </w:rPr>
    </w:lvl>
    <w:lvl w:ilvl="6" w:tplc="DF88F000" w:tentative="1">
      <w:start w:val="1"/>
      <w:numFmt w:val="bullet"/>
      <w:lvlText w:val="•"/>
      <w:lvlJc w:val="left"/>
      <w:pPr>
        <w:tabs>
          <w:tab w:val="num" w:pos="5040"/>
        </w:tabs>
        <w:ind w:left="5040" w:hanging="360"/>
      </w:pPr>
      <w:rPr>
        <w:rFonts w:ascii="Arial" w:hAnsi="Arial" w:hint="default"/>
      </w:rPr>
    </w:lvl>
    <w:lvl w:ilvl="7" w:tplc="D1D8CE14" w:tentative="1">
      <w:start w:val="1"/>
      <w:numFmt w:val="bullet"/>
      <w:lvlText w:val="•"/>
      <w:lvlJc w:val="left"/>
      <w:pPr>
        <w:tabs>
          <w:tab w:val="num" w:pos="5760"/>
        </w:tabs>
        <w:ind w:left="5760" w:hanging="360"/>
      </w:pPr>
      <w:rPr>
        <w:rFonts w:ascii="Arial" w:hAnsi="Arial" w:hint="default"/>
      </w:rPr>
    </w:lvl>
    <w:lvl w:ilvl="8" w:tplc="66B48176" w:tentative="1">
      <w:start w:val="1"/>
      <w:numFmt w:val="bullet"/>
      <w:lvlText w:val="•"/>
      <w:lvlJc w:val="left"/>
      <w:pPr>
        <w:tabs>
          <w:tab w:val="num" w:pos="6480"/>
        </w:tabs>
        <w:ind w:left="6480" w:hanging="360"/>
      </w:pPr>
      <w:rPr>
        <w:rFonts w:ascii="Arial" w:hAnsi="Arial" w:hint="default"/>
      </w:rPr>
    </w:lvl>
  </w:abstractNum>
  <w:abstractNum w:abstractNumId="15">
    <w:nsid w:val="4AA601A2"/>
    <w:multiLevelType w:val="hybridMultilevel"/>
    <w:tmpl w:val="C64AB106"/>
    <w:lvl w:ilvl="0" w:tplc="C3424CC6">
      <w:start w:val="1"/>
      <w:numFmt w:val="bullet"/>
      <w:lvlText w:val="•"/>
      <w:lvlJc w:val="left"/>
      <w:pPr>
        <w:tabs>
          <w:tab w:val="num" w:pos="720"/>
        </w:tabs>
        <w:ind w:left="720" w:hanging="360"/>
      </w:pPr>
      <w:rPr>
        <w:rFonts w:ascii="Arial" w:hAnsi="Arial" w:hint="default"/>
      </w:rPr>
    </w:lvl>
    <w:lvl w:ilvl="1" w:tplc="C214EEA8" w:tentative="1">
      <w:start w:val="1"/>
      <w:numFmt w:val="bullet"/>
      <w:lvlText w:val="•"/>
      <w:lvlJc w:val="left"/>
      <w:pPr>
        <w:tabs>
          <w:tab w:val="num" w:pos="1440"/>
        </w:tabs>
        <w:ind w:left="1440" w:hanging="360"/>
      </w:pPr>
      <w:rPr>
        <w:rFonts w:ascii="Arial" w:hAnsi="Arial" w:hint="default"/>
      </w:rPr>
    </w:lvl>
    <w:lvl w:ilvl="2" w:tplc="30F6C498" w:tentative="1">
      <w:start w:val="1"/>
      <w:numFmt w:val="bullet"/>
      <w:lvlText w:val="•"/>
      <w:lvlJc w:val="left"/>
      <w:pPr>
        <w:tabs>
          <w:tab w:val="num" w:pos="2160"/>
        </w:tabs>
        <w:ind w:left="2160" w:hanging="360"/>
      </w:pPr>
      <w:rPr>
        <w:rFonts w:ascii="Arial" w:hAnsi="Arial" w:hint="default"/>
      </w:rPr>
    </w:lvl>
    <w:lvl w:ilvl="3" w:tplc="AEAC7752" w:tentative="1">
      <w:start w:val="1"/>
      <w:numFmt w:val="bullet"/>
      <w:lvlText w:val="•"/>
      <w:lvlJc w:val="left"/>
      <w:pPr>
        <w:tabs>
          <w:tab w:val="num" w:pos="2880"/>
        </w:tabs>
        <w:ind w:left="2880" w:hanging="360"/>
      </w:pPr>
      <w:rPr>
        <w:rFonts w:ascii="Arial" w:hAnsi="Arial" w:hint="default"/>
      </w:rPr>
    </w:lvl>
    <w:lvl w:ilvl="4" w:tplc="0F08E886" w:tentative="1">
      <w:start w:val="1"/>
      <w:numFmt w:val="bullet"/>
      <w:lvlText w:val="•"/>
      <w:lvlJc w:val="left"/>
      <w:pPr>
        <w:tabs>
          <w:tab w:val="num" w:pos="3600"/>
        </w:tabs>
        <w:ind w:left="3600" w:hanging="360"/>
      </w:pPr>
      <w:rPr>
        <w:rFonts w:ascii="Arial" w:hAnsi="Arial" w:hint="default"/>
      </w:rPr>
    </w:lvl>
    <w:lvl w:ilvl="5" w:tplc="18028D02" w:tentative="1">
      <w:start w:val="1"/>
      <w:numFmt w:val="bullet"/>
      <w:lvlText w:val="•"/>
      <w:lvlJc w:val="left"/>
      <w:pPr>
        <w:tabs>
          <w:tab w:val="num" w:pos="4320"/>
        </w:tabs>
        <w:ind w:left="4320" w:hanging="360"/>
      </w:pPr>
      <w:rPr>
        <w:rFonts w:ascii="Arial" w:hAnsi="Arial" w:hint="default"/>
      </w:rPr>
    </w:lvl>
    <w:lvl w:ilvl="6" w:tplc="2E42E6A0" w:tentative="1">
      <w:start w:val="1"/>
      <w:numFmt w:val="bullet"/>
      <w:lvlText w:val="•"/>
      <w:lvlJc w:val="left"/>
      <w:pPr>
        <w:tabs>
          <w:tab w:val="num" w:pos="5040"/>
        </w:tabs>
        <w:ind w:left="5040" w:hanging="360"/>
      </w:pPr>
      <w:rPr>
        <w:rFonts w:ascii="Arial" w:hAnsi="Arial" w:hint="default"/>
      </w:rPr>
    </w:lvl>
    <w:lvl w:ilvl="7" w:tplc="10DE6054" w:tentative="1">
      <w:start w:val="1"/>
      <w:numFmt w:val="bullet"/>
      <w:lvlText w:val="•"/>
      <w:lvlJc w:val="left"/>
      <w:pPr>
        <w:tabs>
          <w:tab w:val="num" w:pos="5760"/>
        </w:tabs>
        <w:ind w:left="5760" w:hanging="360"/>
      </w:pPr>
      <w:rPr>
        <w:rFonts w:ascii="Arial" w:hAnsi="Arial" w:hint="default"/>
      </w:rPr>
    </w:lvl>
    <w:lvl w:ilvl="8" w:tplc="F37EC416" w:tentative="1">
      <w:start w:val="1"/>
      <w:numFmt w:val="bullet"/>
      <w:lvlText w:val="•"/>
      <w:lvlJc w:val="left"/>
      <w:pPr>
        <w:tabs>
          <w:tab w:val="num" w:pos="6480"/>
        </w:tabs>
        <w:ind w:left="6480" w:hanging="360"/>
      </w:pPr>
      <w:rPr>
        <w:rFonts w:ascii="Arial" w:hAnsi="Arial" w:hint="default"/>
      </w:rPr>
    </w:lvl>
  </w:abstractNum>
  <w:abstractNum w:abstractNumId="16">
    <w:nsid w:val="4D933519"/>
    <w:multiLevelType w:val="hybridMultilevel"/>
    <w:tmpl w:val="6FBCFB44"/>
    <w:lvl w:ilvl="0" w:tplc="E218747A">
      <w:start w:val="1"/>
      <w:numFmt w:val="bullet"/>
      <w:lvlText w:val="•"/>
      <w:lvlJc w:val="left"/>
      <w:pPr>
        <w:tabs>
          <w:tab w:val="num" w:pos="720"/>
        </w:tabs>
        <w:ind w:left="720" w:hanging="360"/>
      </w:pPr>
      <w:rPr>
        <w:rFonts w:ascii="Arial" w:hAnsi="Arial" w:hint="default"/>
      </w:rPr>
    </w:lvl>
    <w:lvl w:ilvl="1" w:tplc="0282963C" w:tentative="1">
      <w:start w:val="1"/>
      <w:numFmt w:val="bullet"/>
      <w:lvlText w:val="•"/>
      <w:lvlJc w:val="left"/>
      <w:pPr>
        <w:tabs>
          <w:tab w:val="num" w:pos="1440"/>
        </w:tabs>
        <w:ind w:left="1440" w:hanging="360"/>
      </w:pPr>
      <w:rPr>
        <w:rFonts w:ascii="Arial" w:hAnsi="Arial" w:hint="default"/>
      </w:rPr>
    </w:lvl>
    <w:lvl w:ilvl="2" w:tplc="08AE60D4" w:tentative="1">
      <w:start w:val="1"/>
      <w:numFmt w:val="bullet"/>
      <w:lvlText w:val="•"/>
      <w:lvlJc w:val="left"/>
      <w:pPr>
        <w:tabs>
          <w:tab w:val="num" w:pos="2160"/>
        </w:tabs>
        <w:ind w:left="2160" w:hanging="360"/>
      </w:pPr>
      <w:rPr>
        <w:rFonts w:ascii="Arial" w:hAnsi="Arial" w:hint="default"/>
      </w:rPr>
    </w:lvl>
    <w:lvl w:ilvl="3" w:tplc="002836A2" w:tentative="1">
      <w:start w:val="1"/>
      <w:numFmt w:val="bullet"/>
      <w:lvlText w:val="•"/>
      <w:lvlJc w:val="left"/>
      <w:pPr>
        <w:tabs>
          <w:tab w:val="num" w:pos="2880"/>
        </w:tabs>
        <w:ind w:left="2880" w:hanging="360"/>
      </w:pPr>
      <w:rPr>
        <w:rFonts w:ascii="Arial" w:hAnsi="Arial" w:hint="default"/>
      </w:rPr>
    </w:lvl>
    <w:lvl w:ilvl="4" w:tplc="67989148" w:tentative="1">
      <w:start w:val="1"/>
      <w:numFmt w:val="bullet"/>
      <w:lvlText w:val="•"/>
      <w:lvlJc w:val="left"/>
      <w:pPr>
        <w:tabs>
          <w:tab w:val="num" w:pos="3600"/>
        </w:tabs>
        <w:ind w:left="3600" w:hanging="360"/>
      </w:pPr>
      <w:rPr>
        <w:rFonts w:ascii="Arial" w:hAnsi="Arial" w:hint="default"/>
      </w:rPr>
    </w:lvl>
    <w:lvl w:ilvl="5" w:tplc="EEE43648" w:tentative="1">
      <w:start w:val="1"/>
      <w:numFmt w:val="bullet"/>
      <w:lvlText w:val="•"/>
      <w:lvlJc w:val="left"/>
      <w:pPr>
        <w:tabs>
          <w:tab w:val="num" w:pos="4320"/>
        </w:tabs>
        <w:ind w:left="4320" w:hanging="360"/>
      </w:pPr>
      <w:rPr>
        <w:rFonts w:ascii="Arial" w:hAnsi="Arial" w:hint="default"/>
      </w:rPr>
    </w:lvl>
    <w:lvl w:ilvl="6" w:tplc="C5167070" w:tentative="1">
      <w:start w:val="1"/>
      <w:numFmt w:val="bullet"/>
      <w:lvlText w:val="•"/>
      <w:lvlJc w:val="left"/>
      <w:pPr>
        <w:tabs>
          <w:tab w:val="num" w:pos="5040"/>
        </w:tabs>
        <w:ind w:left="5040" w:hanging="360"/>
      </w:pPr>
      <w:rPr>
        <w:rFonts w:ascii="Arial" w:hAnsi="Arial" w:hint="default"/>
      </w:rPr>
    </w:lvl>
    <w:lvl w:ilvl="7" w:tplc="0096F9E8" w:tentative="1">
      <w:start w:val="1"/>
      <w:numFmt w:val="bullet"/>
      <w:lvlText w:val="•"/>
      <w:lvlJc w:val="left"/>
      <w:pPr>
        <w:tabs>
          <w:tab w:val="num" w:pos="5760"/>
        </w:tabs>
        <w:ind w:left="5760" w:hanging="360"/>
      </w:pPr>
      <w:rPr>
        <w:rFonts w:ascii="Arial" w:hAnsi="Arial" w:hint="default"/>
      </w:rPr>
    </w:lvl>
    <w:lvl w:ilvl="8" w:tplc="D28AB5CC" w:tentative="1">
      <w:start w:val="1"/>
      <w:numFmt w:val="bullet"/>
      <w:lvlText w:val="•"/>
      <w:lvlJc w:val="left"/>
      <w:pPr>
        <w:tabs>
          <w:tab w:val="num" w:pos="6480"/>
        </w:tabs>
        <w:ind w:left="6480" w:hanging="360"/>
      </w:pPr>
      <w:rPr>
        <w:rFonts w:ascii="Arial" w:hAnsi="Arial" w:hint="default"/>
      </w:rPr>
    </w:lvl>
  </w:abstractNum>
  <w:abstractNum w:abstractNumId="17">
    <w:nsid w:val="50E40BBF"/>
    <w:multiLevelType w:val="multilevel"/>
    <w:tmpl w:val="A91E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8107CAE"/>
    <w:multiLevelType w:val="multilevel"/>
    <w:tmpl w:val="F9DC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710AD2"/>
    <w:multiLevelType w:val="hybridMultilevel"/>
    <w:tmpl w:val="2660A95E"/>
    <w:lvl w:ilvl="0" w:tplc="A9082350">
      <w:start w:val="1"/>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1">
    <w:nsid w:val="69CD3BF3"/>
    <w:multiLevelType w:val="hybridMultilevel"/>
    <w:tmpl w:val="527E17B8"/>
    <w:lvl w:ilvl="0" w:tplc="3E42F366">
      <w:start w:val="1"/>
      <w:numFmt w:val="bullet"/>
      <w:lvlText w:val="•"/>
      <w:lvlJc w:val="left"/>
      <w:pPr>
        <w:tabs>
          <w:tab w:val="num" w:pos="720"/>
        </w:tabs>
        <w:ind w:left="720" w:hanging="360"/>
      </w:pPr>
      <w:rPr>
        <w:rFonts w:ascii="Arial" w:hAnsi="Arial" w:hint="default"/>
      </w:rPr>
    </w:lvl>
    <w:lvl w:ilvl="1" w:tplc="2CAAF41A" w:tentative="1">
      <w:start w:val="1"/>
      <w:numFmt w:val="bullet"/>
      <w:lvlText w:val="•"/>
      <w:lvlJc w:val="left"/>
      <w:pPr>
        <w:tabs>
          <w:tab w:val="num" w:pos="1440"/>
        </w:tabs>
        <w:ind w:left="1440" w:hanging="360"/>
      </w:pPr>
      <w:rPr>
        <w:rFonts w:ascii="Arial" w:hAnsi="Arial" w:hint="default"/>
      </w:rPr>
    </w:lvl>
    <w:lvl w:ilvl="2" w:tplc="423AFF6C" w:tentative="1">
      <w:start w:val="1"/>
      <w:numFmt w:val="bullet"/>
      <w:lvlText w:val="•"/>
      <w:lvlJc w:val="left"/>
      <w:pPr>
        <w:tabs>
          <w:tab w:val="num" w:pos="2160"/>
        </w:tabs>
        <w:ind w:left="2160" w:hanging="360"/>
      </w:pPr>
      <w:rPr>
        <w:rFonts w:ascii="Arial" w:hAnsi="Arial" w:hint="default"/>
      </w:rPr>
    </w:lvl>
    <w:lvl w:ilvl="3" w:tplc="950C6802" w:tentative="1">
      <w:start w:val="1"/>
      <w:numFmt w:val="bullet"/>
      <w:lvlText w:val="•"/>
      <w:lvlJc w:val="left"/>
      <w:pPr>
        <w:tabs>
          <w:tab w:val="num" w:pos="2880"/>
        </w:tabs>
        <w:ind w:left="2880" w:hanging="360"/>
      </w:pPr>
      <w:rPr>
        <w:rFonts w:ascii="Arial" w:hAnsi="Arial" w:hint="default"/>
      </w:rPr>
    </w:lvl>
    <w:lvl w:ilvl="4" w:tplc="AE2690A4" w:tentative="1">
      <w:start w:val="1"/>
      <w:numFmt w:val="bullet"/>
      <w:lvlText w:val="•"/>
      <w:lvlJc w:val="left"/>
      <w:pPr>
        <w:tabs>
          <w:tab w:val="num" w:pos="3600"/>
        </w:tabs>
        <w:ind w:left="3600" w:hanging="360"/>
      </w:pPr>
      <w:rPr>
        <w:rFonts w:ascii="Arial" w:hAnsi="Arial" w:hint="default"/>
      </w:rPr>
    </w:lvl>
    <w:lvl w:ilvl="5" w:tplc="6C6830E6" w:tentative="1">
      <w:start w:val="1"/>
      <w:numFmt w:val="bullet"/>
      <w:lvlText w:val="•"/>
      <w:lvlJc w:val="left"/>
      <w:pPr>
        <w:tabs>
          <w:tab w:val="num" w:pos="4320"/>
        </w:tabs>
        <w:ind w:left="4320" w:hanging="360"/>
      </w:pPr>
      <w:rPr>
        <w:rFonts w:ascii="Arial" w:hAnsi="Arial" w:hint="default"/>
      </w:rPr>
    </w:lvl>
    <w:lvl w:ilvl="6" w:tplc="4412D7F4" w:tentative="1">
      <w:start w:val="1"/>
      <w:numFmt w:val="bullet"/>
      <w:lvlText w:val="•"/>
      <w:lvlJc w:val="left"/>
      <w:pPr>
        <w:tabs>
          <w:tab w:val="num" w:pos="5040"/>
        </w:tabs>
        <w:ind w:left="5040" w:hanging="360"/>
      </w:pPr>
      <w:rPr>
        <w:rFonts w:ascii="Arial" w:hAnsi="Arial" w:hint="default"/>
      </w:rPr>
    </w:lvl>
    <w:lvl w:ilvl="7" w:tplc="62F85634" w:tentative="1">
      <w:start w:val="1"/>
      <w:numFmt w:val="bullet"/>
      <w:lvlText w:val="•"/>
      <w:lvlJc w:val="left"/>
      <w:pPr>
        <w:tabs>
          <w:tab w:val="num" w:pos="5760"/>
        </w:tabs>
        <w:ind w:left="5760" w:hanging="360"/>
      </w:pPr>
      <w:rPr>
        <w:rFonts w:ascii="Arial" w:hAnsi="Arial" w:hint="default"/>
      </w:rPr>
    </w:lvl>
    <w:lvl w:ilvl="8" w:tplc="76F40904" w:tentative="1">
      <w:start w:val="1"/>
      <w:numFmt w:val="bullet"/>
      <w:lvlText w:val="•"/>
      <w:lvlJc w:val="left"/>
      <w:pPr>
        <w:tabs>
          <w:tab w:val="num" w:pos="6480"/>
        </w:tabs>
        <w:ind w:left="6480" w:hanging="360"/>
      </w:pPr>
      <w:rPr>
        <w:rFonts w:ascii="Arial" w:hAnsi="Arial" w:hint="default"/>
      </w:rPr>
    </w:lvl>
  </w:abstractNum>
  <w:abstractNum w:abstractNumId="22">
    <w:nsid w:val="6A811D4A"/>
    <w:multiLevelType w:val="hybridMultilevel"/>
    <w:tmpl w:val="9156F994"/>
    <w:lvl w:ilvl="0" w:tplc="2E14113E">
      <w:start w:val="1"/>
      <w:numFmt w:val="bullet"/>
      <w:lvlText w:val="•"/>
      <w:lvlJc w:val="left"/>
      <w:pPr>
        <w:tabs>
          <w:tab w:val="num" w:pos="720"/>
        </w:tabs>
        <w:ind w:left="720" w:hanging="360"/>
      </w:pPr>
      <w:rPr>
        <w:rFonts w:ascii="Arial" w:hAnsi="Arial" w:hint="default"/>
      </w:rPr>
    </w:lvl>
    <w:lvl w:ilvl="1" w:tplc="C6F4FB24" w:tentative="1">
      <w:start w:val="1"/>
      <w:numFmt w:val="bullet"/>
      <w:lvlText w:val="•"/>
      <w:lvlJc w:val="left"/>
      <w:pPr>
        <w:tabs>
          <w:tab w:val="num" w:pos="1440"/>
        </w:tabs>
        <w:ind w:left="1440" w:hanging="360"/>
      </w:pPr>
      <w:rPr>
        <w:rFonts w:ascii="Arial" w:hAnsi="Arial" w:hint="default"/>
      </w:rPr>
    </w:lvl>
    <w:lvl w:ilvl="2" w:tplc="3B848966" w:tentative="1">
      <w:start w:val="1"/>
      <w:numFmt w:val="bullet"/>
      <w:lvlText w:val="•"/>
      <w:lvlJc w:val="left"/>
      <w:pPr>
        <w:tabs>
          <w:tab w:val="num" w:pos="2160"/>
        </w:tabs>
        <w:ind w:left="2160" w:hanging="360"/>
      </w:pPr>
      <w:rPr>
        <w:rFonts w:ascii="Arial" w:hAnsi="Arial" w:hint="default"/>
      </w:rPr>
    </w:lvl>
    <w:lvl w:ilvl="3" w:tplc="844CEE48" w:tentative="1">
      <w:start w:val="1"/>
      <w:numFmt w:val="bullet"/>
      <w:lvlText w:val="•"/>
      <w:lvlJc w:val="left"/>
      <w:pPr>
        <w:tabs>
          <w:tab w:val="num" w:pos="2880"/>
        </w:tabs>
        <w:ind w:left="2880" w:hanging="360"/>
      </w:pPr>
      <w:rPr>
        <w:rFonts w:ascii="Arial" w:hAnsi="Arial" w:hint="default"/>
      </w:rPr>
    </w:lvl>
    <w:lvl w:ilvl="4" w:tplc="F45C1672" w:tentative="1">
      <w:start w:val="1"/>
      <w:numFmt w:val="bullet"/>
      <w:lvlText w:val="•"/>
      <w:lvlJc w:val="left"/>
      <w:pPr>
        <w:tabs>
          <w:tab w:val="num" w:pos="3600"/>
        </w:tabs>
        <w:ind w:left="3600" w:hanging="360"/>
      </w:pPr>
      <w:rPr>
        <w:rFonts w:ascii="Arial" w:hAnsi="Arial" w:hint="default"/>
      </w:rPr>
    </w:lvl>
    <w:lvl w:ilvl="5" w:tplc="5220F440" w:tentative="1">
      <w:start w:val="1"/>
      <w:numFmt w:val="bullet"/>
      <w:lvlText w:val="•"/>
      <w:lvlJc w:val="left"/>
      <w:pPr>
        <w:tabs>
          <w:tab w:val="num" w:pos="4320"/>
        </w:tabs>
        <w:ind w:left="4320" w:hanging="360"/>
      </w:pPr>
      <w:rPr>
        <w:rFonts w:ascii="Arial" w:hAnsi="Arial" w:hint="default"/>
      </w:rPr>
    </w:lvl>
    <w:lvl w:ilvl="6" w:tplc="F042C84A" w:tentative="1">
      <w:start w:val="1"/>
      <w:numFmt w:val="bullet"/>
      <w:lvlText w:val="•"/>
      <w:lvlJc w:val="left"/>
      <w:pPr>
        <w:tabs>
          <w:tab w:val="num" w:pos="5040"/>
        </w:tabs>
        <w:ind w:left="5040" w:hanging="360"/>
      </w:pPr>
      <w:rPr>
        <w:rFonts w:ascii="Arial" w:hAnsi="Arial" w:hint="default"/>
      </w:rPr>
    </w:lvl>
    <w:lvl w:ilvl="7" w:tplc="64AEE20E" w:tentative="1">
      <w:start w:val="1"/>
      <w:numFmt w:val="bullet"/>
      <w:lvlText w:val="•"/>
      <w:lvlJc w:val="left"/>
      <w:pPr>
        <w:tabs>
          <w:tab w:val="num" w:pos="5760"/>
        </w:tabs>
        <w:ind w:left="5760" w:hanging="360"/>
      </w:pPr>
      <w:rPr>
        <w:rFonts w:ascii="Arial" w:hAnsi="Arial" w:hint="default"/>
      </w:rPr>
    </w:lvl>
    <w:lvl w:ilvl="8" w:tplc="C9F20772" w:tentative="1">
      <w:start w:val="1"/>
      <w:numFmt w:val="bullet"/>
      <w:lvlText w:val="•"/>
      <w:lvlJc w:val="left"/>
      <w:pPr>
        <w:tabs>
          <w:tab w:val="num" w:pos="6480"/>
        </w:tabs>
        <w:ind w:left="6480" w:hanging="360"/>
      </w:pPr>
      <w:rPr>
        <w:rFonts w:ascii="Arial" w:hAnsi="Arial" w:hint="default"/>
      </w:rPr>
    </w:lvl>
  </w:abstractNum>
  <w:abstractNum w:abstractNumId="23">
    <w:nsid w:val="746B06A1"/>
    <w:multiLevelType w:val="hybridMultilevel"/>
    <w:tmpl w:val="35428D10"/>
    <w:lvl w:ilvl="0" w:tplc="5BD0D536">
      <w:start w:val="7"/>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8CB528C"/>
    <w:multiLevelType w:val="hybridMultilevel"/>
    <w:tmpl w:val="F62E0AE6"/>
    <w:lvl w:ilvl="0" w:tplc="90F23422">
      <w:start w:val="1"/>
      <w:numFmt w:val="bullet"/>
      <w:lvlText w:val="•"/>
      <w:lvlJc w:val="left"/>
      <w:pPr>
        <w:tabs>
          <w:tab w:val="num" w:pos="720"/>
        </w:tabs>
        <w:ind w:left="720" w:hanging="360"/>
      </w:pPr>
      <w:rPr>
        <w:rFonts w:ascii="Arial" w:hAnsi="Arial" w:hint="default"/>
      </w:rPr>
    </w:lvl>
    <w:lvl w:ilvl="1" w:tplc="5F2A2D9A" w:tentative="1">
      <w:start w:val="1"/>
      <w:numFmt w:val="bullet"/>
      <w:lvlText w:val="•"/>
      <w:lvlJc w:val="left"/>
      <w:pPr>
        <w:tabs>
          <w:tab w:val="num" w:pos="1440"/>
        </w:tabs>
        <w:ind w:left="1440" w:hanging="360"/>
      </w:pPr>
      <w:rPr>
        <w:rFonts w:ascii="Arial" w:hAnsi="Arial" w:hint="default"/>
      </w:rPr>
    </w:lvl>
    <w:lvl w:ilvl="2" w:tplc="F4A85D42" w:tentative="1">
      <w:start w:val="1"/>
      <w:numFmt w:val="bullet"/>
      <w:lvlText w:val="•"/>
      <w:lvlJc w:val="left"/>
      <w:pPr>
        <w:tabs>
          <w:tab w:val="num" w:pos="2160"/>
        </w:tabs>
        <w:ind w:left="2160" w:hanging="360"/>
      </w:pPr>
      <w:rPr>
        <w:rFonts w:ascii="Arial" w:hAnsi="Arial" w:hint="default"/>
      </w:rPr>
    </w:lvl>
    <w:lvl w:ilvl="3" w:tplc="2A4CEFF4" w:tentative="1">
      <w:start w:val="1"/>
      <w:numFmt w:val="bullet"/>
      <w:lvlText w:val="•"/>
      <w:lvlJc w:val="left"/>
      <w:pPr>
        <w:tabs>
          <w:tab w:val="num" w:pos="2880"/>
        </w:tabs>
        <w:ind w:left="2880" w:hanging="360"/>
      </w:pPr>
      <w:rPr>
        <w:rFonts w:ascii="Arial" w:hAnsi="Arial" w:hint="default"/>
      </w:rPr>
    </w:lvl>
    <w:lvl w:ilvl="4" w:tplc="0B9A5274" w:tentative="1">
      <w:start w:val="1"/>
      <w:numFmt w:val="bullet"/>
      <w:lvlText w:val="•"/>
      <w:lvlJc w:val="left"/>
      <w:pPr>
        <w:tabs>
          <w:tab w:val="num" w:pos="3600"/>
        </w:tabs>
        <w:ind w:left="3600" w:hanging="360"/>
      </w:pPr>
      <w:rPr>
        <w:rFonts w:ascii="Arial" w:hAnsi="Arial" w:hint="default"/>
      </w:rPr>
    </w:lvl>
    <w:lvl w:ilvl="5" w:tplc="AEA0DCD6" w:tentative="1">
      <w:start w:val="1"/>
      <w:numFmt w:val="bullet"/>
      <w:lvlText w:val="•"/>
      <w:lvlJc w:val="left"/>
      <w:pPr>
        <w:tabs>
          <w:tab w:val="num" w:pos="4320"/>
        </w:tabs>
        <w:ind w:left="4320" w:hanging="360"/>
      </w:pPr>
      <w:rPr>
        <w:rFonts w:ascii="Arial" w:hAnsi="Arial" w:hint="default"/>
      </w:rPr>
    </w:lvl>
    <w:lvl w:ilvl="6" w:tplc="94C49C2A" w:tentative="1">
      <w:start w:val="1"/>
      <w:numFmt w:val="bullet"/>
      <w:lvlText w:val="•"/>
      <w:lvlJc w:val="left"/>
      <w:pPr>
        <w:tabs>
          <w:tab w:val="num" w:pos="5040"/>
        </w:tabs>
        <w:ind w:left="5040" w:hanging="360"/>
      </w:pPr>
      <w:rPr>
        <w:rFonts w:ascii="Arial" w:hAnsi="Arial" w:hint="default"/>
      </w:rPr>
    </w:lvl>
    <w:lvl w:ilvl="7" w:tplc="A33A62B6" w:tentative="1">
      <w:start w:val="1"/>
      <w:numFmt w:val="bullet"/>
      <w:lvlText w:val="•"/>
      <w:lvlJc w:val="left"/>
      <w:pPr>
        <w:tabs>
          <w:tab w:val="num" w:pos="5760"/>
        </w:tabs>
        <w:ind w:left="5760" w:hanging="360"/>
      </w:pPr>
      <w:rPr>
        <w:rFonts w:ascii="Arial" w:hAnsi="Arial" w:hint="default"/>
      </w:rPr>
    </w:lvl>
    <w:lvl w:ilvl="8" w:tplc="449A573A" w:tentative="1">
      <w:start w:val="1"/>
      <w:numFmt w:val="bullet"/>
      <w:lvlText w:val="•"/>
      <w:lvlJc w:val="left"/>
      <w:pPr>
        <w:tabs>
          <w:tab w:val="num" w:pos="6480"/>
        </w:tabs>
        <w:ind w:left="6480" w:hanging="360"/>
      </w:pPr>
      <w:rPr>
        <w:rFonts w:ascii="Arial" w:hAnsi="Arial" w:hint="default"/>
      </w:rPr>
    </w:lvl>
  </w:abstractNum>
  <w:abstractNum w:abstractNumId="25">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5"/>
  </w:num>
  <w:num w:numId="3">
    <w:abstractNumId w:val="2"/>
  </w:num>
  <w:num w:numId="4">
    <w:abstractNumId w:val="23"/>
  </w:num>
  <w:num w:numId="5">
    <w:abstractNumId w:val="7"/>
  </w:num>
  <w:num w:numId="6">
    <w:abstractNumId w:val="13"/>
  </w:num>
  <w:num w:numId="7">
    <w:abstractNumId w:val="21"/>
  </w:num>
  <w:num w:numId="8">
    <w:abstractNumId w:val="9"/>
  </w:num>
  <w:num w:numId="9">
    <w:abstractNumId w:val="9"/>
    <w:lvlOverride w:ilvl="0">
      <w:startOverride w:val="1"/>
    </w:lvlOverride>
  </w:num>
  <w:num w:numId="10">
    <w:abstractNumId w:val="17"/>
  </w:num>
  <w:num w:numId="11">
    <w:abstractNumId w:val="17"/>
    <w:lvlOverride w:ilvl="0">
      <w:startOverride w:val="1"/>
    </w:lvlOverride>
  </w:num>
  <w:num w:numId="12">
    <w:abstractNumId w:val="11"/>
  </w:num>
  <w:num w:numId="13">
    <w:abstractNumId w:val="3"/>
  </w:num>
  <w:num w:numId="14">
    <w:abstractNumId w:val="3"/>
    <w:lvlOverride w:ilvl="0">
      <w:startOverride w:val="1"/>
    </w:lvlOverride>
  </w:num>
  <w:num w:numId="15">
    <w:abstractNumId w:val="12"/>
  </w:num>
  <w:num w:numId="16">
    <w:abstractNumId w:val="12"/>
    <w:lvlOverride w:ilvl="0">
      <w:startOverride w:val="1"/>
    </w:lvlOverride>
  </w:num>
  <w:num w:numId="17">
    <w:abstractNumId w:val="6"/>
  </w:num>
  <w:num w:numId="18">
    <w:abstractNumId w:val="6"/>
    <w:lvlOverride w:ilvl="0">
      <w:startOverride w:val="1"/>
    </w:lvlOverride>
  </w:num>
  <w:num w:numId="19">
    <w:abstractNumId w:val="19"/>
  </w:num>
  <w:num w:numId="20">
    <w:abstractNumId w:val="19"/>
    <w:lvlOverride w:ilvl="0">
      <w:startOverride w:val="1"/>
    </w:lvlOverride>
  </w:num>
  <w:num w:numId="21">
    <w:abstractNumId w:val="20"/>
  </w:num>
  <w:num w:numId="22">
    <w:abstractNumId w:val="4"/>
  </w:num>
  <w:num w:numId="23">
    <w:abstractNumId w:val="4"/>
    <w:lvlOverride w:ilvl="0">
      <w:startOverride w:val="1"/>
    </w:lvlOverride>
  </w:num>
  <w:num w:numId="24">
    <w:abstractNumId w:val="0"/>
  </w:num>
  <w:num w:numId="25">
    <w:abstractNumId w:val="0"/>
    <w:lvlOverride w:ilvl="0">
      <w:startOverride w:val="1"/>
    </w:lvlOverride>
  </w:num>
  <w:num w:numId="26">
    <w:abstractNumId w:val="8"/>
  </w:num>
  <w:num w:numId="27">
    <w:abstractNumId w:val="1"/>
  </w:num>
  <w:num w:numId="28">
    <w:abstractNumId w:val="14"/>
  </w:num>
  <w:num w:numId="29">
    <w:abstractNumId w:val="10"/>
  </w:num>
  <w:num w:numId="30">
    <w:abstractNumId w:val="15"/>
  </w:num>
  <w:num w:numId="31">
    <w:abstractNumId w:val="16"/>
  </w:num>
  <w:num w:numId="32">
    <w:abstractNumId w:val="5"/>
  </w:num>
  <w:num w:numId="33">
    <w:abstractNumId w:val="2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PzhURJyvKY7iEVgr3nWFnbLT5PY=" w:salt="GDJx5+tdVeZJ6piqLqUK6A=="/>
  <w:defaultTabStop w:val="708"/>
  <w:hyphenationZone w:val="425"/>
  <w:characterSpacingControl w:val="doNotCompress"/>
  <w:savePreviewPicture/>
  <w:hdrShapeDefaults>
    <o:shapedefaults v:ext="edit" spidmax="41986"/>
    <o:shapelayout v:ext="edit">
      <o:idmap v:ext="edit" data="1"/>
    </o:shapelayout>
  </w:hdrShapeDefaults>
  <w:footnotePr>
    <w:footnote w:id="0"/>
    <w:footnote w:id="1"/>
  </w:footnotePr>
  <w:endnotePr>
    <w:endnote w:id="0"/>
    <w:endnote w:id="1"/>
  </w:endnotePr>
  <w:compat>
    <w:useFELayout/>
  </w:compat>
  <w:rsids>
    <w:rsidRoot w:val="00AF768A"/>
    <w:rsid w:val="00007BA2"/>
    <w:rsid w:val="00014812"/>
    <w:rsid w:val="000629BE"/>
    <w:rsid w:val="000818E7"/>
    <w:rsid w:val="00094979"/>
    <w:rsid w:val="000962DD"/>
    <w:rsid w:val="000C5710"/>
    <w:rsid w:val="000E0095"/>
    <w:rsid w:val="001234BB"/>
    <w:rsid w:val="001A2F97"/>
    <w:rsid w:val="001A4BEB"/>
    <w:rsid w:val="00213568"/>
    <w:rsid w:val="002407B4"/>
    <w:rsid w:val="002415BF"/>
    <w:rsid w:val="002D40DF"/>
    <w:rsid w:val="002E5042"/>
    <w:rsid w:val="00314A20"/>
    <w:rsid w:val="00315B36"/>
    <w:rsid w:val="003427F1"/>
    <w:rsid w:val="0037493B"/>
    <w:rsid w:val="00392227"/>
    <w:rsid w:val="003B40BE"/>
    <w:rsid w:val="003B6DFE"/>
    <w:rsid w:val="00413740"/>
    <w:rsid w:val="00450DD6"/>
    <w:rsid w:val="00476673"/>
    <w:rsid w:val="004926C6"/>
    <w:rsid w:val="004B4A0C"/>
    <w:rsid w:val="004C4ADF"/>
    <w:rsid w:val="004E06AF"/>
    <w:rsid w:val="004E2F1C"/>
    <w:rsid w:val="004E3380"/>
    <w:rsid w:val="00512040"/>
    <w:rsid w:val="0052201F"/>
    <w:rsid w:val="005430FD"/>
    <w:rsid w:val="005C6DD9"/>
    <w:rsid w:val="005F6910"/>
    <w:rsid w:val="00631023"/>
    <w:rsid w:val="00632316"/>
    <w:rsid w:val="00637D53"/>
    <w:rsid w:val="006D1B45"/>
    <w:rsid w:val="006D5699"/>
    <w:rsid w:val="00706821"/>
    <w:rsid w:val="00710980"/>
    <w:rsid w:val="00714279"/>
    <w:rsid w:val="007376B5"/>
    <w:rsid w:val="00742440"/>
    <w:rsid w:val="007D3D2B"/>
    <w:rsid w:val="00802F49"/>
    <w:rsid w:val="008061B5"/>
    <w:rsid w:val="00807B19"/>
    <w:rsid w:val="00813FC6"/>
    <w:rsid w:val="00833147"/>
    <w:rsid w:val="00890D25"/>
    <w:rsid w:val="008979B6"/>
    <w:rsid w:val="008E5022"/>
    <w:rsid w:val="00912445"/>
    <w:rsid w:val="00915DB7"/>
    <w:rsid w:val="009358C3"/>
    <w:rsid w:val="00956E16"/>
    <w:rsid w:val="00971AF6"/>
    <w:rsid w:val="009969B0"/>
    <w:rsid w:val="009B3CBC"/>
    <w:rsid w:val="00A26F24"/>
    <w:rsid w:val="00A4442C"/>
    <w:rsid w:val="00AB53B4"/>
    <w:rsid w:val="00AC737F"/>
    <w:rsid w:val="00AE46E7"/>
    <w:rsid w:val="00AF768A"/>
    <w:rsid w:val="00B02F69"/>
    <w:rsid w:val="00B05130"/>
    <w:rsid w:val="00B33693"/>
    <w:rsid w:val="00B422AC"/>
    <w:rsid w:val="00B73212"/>
    <w:rsid w:val="00B906BB"/>
    <w:rsid w:val="00BA4212"/>
    <w:rsid w:val="00BD679B"/>
    <w:rsid w:val="00BE71BA"/>
    <w:rsid w:val="00BF1005"/>
    <w:rsid w:val="00C06C20"/>
    <w:rsid w:val="00C24C78"/>
    <w:rsid w:val="00C42AA9"/>
    <w:rsid w:val="00CC13B7"/>
    <w:rsid w:val="00CC7ACB"/>
    <w:rsid w:val="00CF7D50"/>
    <w:rsid w:val="00D316D3"/>
    <w:rsid w:val="00D3510F"/>
    <w:rsid w:val="00D561EC"/>
    <w:rsid w:val="00D573A9"/>
    <w:rsid w:val="00D97F54"/>
    <w:rsid w:val="00E023EC"/>
    <w:rsid w:val="00E055A3"/>
    <w:rsid w:val="00E12F0B"/>
    <w:rsid w:val="00E25FE3"/>
    <w:rsid w:val="00E30998"/>
    <w:rsid w:val="00E317D3"/>
    <w:rsid w:val="00E92984"/>
    <w:rsid w:val="00EA0F27"/>
    <w:rsid w:val="00EF2F70"/>
    <w:rsid w:val="00F22903"/>
    <w:rsid w:val="00F320D9"/>
    <w:rsid w:val="00F362E0"/>
    <w:rsid w:val="00F62F75"/>
    <w:rsid w:val="00F71CFA"/>
    <w:rsid w:val="00FA06E2"/>
    <w:rsid w:val="00FB6541"/>
    <w:rsid w:val="00FE5B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2"/>
      <o:rules v:ext="edit">
        <o:r id="V:Rule6" type="connector" idref="#_x0000_s2059"/>
        <o:r id="V:Rule7" type="connector" idref="#_x0000_s2057"/>
        <o:r id="V:Rule8" type="connector" idref="#_x0000_s2056"/>
        <o:r id="V:Rule9" type="connector" idref="#_x0000_s2052"/>
        <o:r id="V:Rule10"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407B4"/>
    <w:rPr>
      <w:b/>
      <w:bCs/>
    </w:rPr>
  </w:style>
  <w:style w:type="paragraph" w:customStyle="1" w:styleId="Default">
    <w:name w:val="Default"/>
    <w:rsid w:val="0052201F"/>
    <w:pPr>
      <w:autoSpaceDE w:val="0"/>
      <w:autoSpaceDN w:val="0"/>
    </w:pPr>
    <w:rPr>
      <w:rFonts w:ascii="Georgia" w:eastAsia="Calibri" w:hAnsi="Georgia" w:cs="Georgia"/>
      <w:color w:val="000000"/>
      <w:lang w:val="sk-SK" w:eastAsia="sk-SK"/>
    </w:rPr>
  </w:style>
  <w:style w:type="table" w:styleId="Mriekatabuky">
    <w:name w:val="Table Grid"/>
    <w:basedOn w:val="Normlnatabuka"/>
    <w:uiPriority w:val="59"/>
    <w:rsid w:val="00C06C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vraznenie">
    <w:name w:val="Emphasis"/>
    <w:basedOn w:val="Predvolenpsmoodseku"/>
    <w:uiPriority w:val="20"/>
    <w:qFormat/>
    <w:rsid w:val="00C06C20"/>
    <w:rPr>
      <w:i/>
      <w:iCs/>
    </w:rPr>
  </w:style>
  <w:style w:type="paragraph" w:styleId="Textbubliny">
    <w:name w:val="Balloon Text"/>
    <w:basedOn w:val="Normlny"/>
    <w:link w:val="TextbublinyChar"/>
    <w:uiPriority w:val="99"/>
    <w:semiHidden/>
    <w:unhideWhenUsed/>
    <w:rsid w:val="000C5710"/>
    <w:rPr>
      <w:rFonts w:ascii="Tahoma" w:hAnsi="Tahoma" w:cs="Tahoma"/>
      <w:sz w:val="16"/>
      <w:szCs w:val="16"/>
    </w:rPr>
  </w:style>
  <w:style w:type="character" w:customStyle="1" w:styleId="TextbublinyChar">
    <w:name w:val="Text bubliny Char"/>
    <w:basedOn w:val="Predvolenpsmoodseku"/>
    <w:link w:val="Textbubliny"/>
    <w:uiPriority w:val="99"/>
    <w:semiHidden/>
    <w:rsid w:val="000C57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divs>
    <w:div w:id="42861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minv.sk/?atlas_20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package" Target="embeddings/Sn_mka_programu_Microsoft_Office_PowerPoint2.sld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Sn_mka_programu_Microsoft_Office_PowerPoint1.sldx"/><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romeda\AppData\Local\Temp\81201761se1g0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romeda\AppData\Local\Temp\81201761se1g0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Promeda\AppData\Local\Temp\81201761se1g0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omeda\AppData\Local\Temp\81201761se1g0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Promeda\AppData\Local\Temp\81201761se1g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manualLayout>
          <c:layoutTarget val="inner"/>
          <c:xMode val="edge"/>
          <c:yMode val="edge"/>
          <c:x val="7.1534084084084099E-2"/>
          <c:y val="8.9148415518651727E-2"/>
          <c:w val="0.87127630805408585"/>
          <c:h val="0.67524559955995889"/>
        </c:manualLayout>
      </c:layout>
      <c:barChart>
        <c:barDir val="col"/>
        <c:grouping val="clustered"/>
        <c:ser>
          <c:idx val="2"/>
          <c:order val="1"/>
          <c:tx>
            <c:strRef>
              <c:f>'[81201761se1g001.xlsx]Výdavky na zdravotníctvo'!$C$29</c:f>
              <c:strCache>
                <c:ptCount val="1"/>
                <c:pt idx="0">
                  <c:v>Na obyvateľa (ľavá os)</c:v>
                </c:pt>
              </c:strCache>
            </c:strRef>
          </c:tx>
          <c:spPr>
            <a:solidFill>
              <a:schemeClr val="accent1"/>
            </a:solidFill>
            <a:ln>
              <a:noFill/>
            </a:ln>
          </c:spPr>
          <c:dPt>
            <c:idx val="11"/>
            <c:spPr>
              <a:solidFill>
                <a:srgbClr val="C00000"/>
              </a:solidFill>
              <a:ln>
                <a:noFill/>
              </a:ln>
            </c:spPr>
          </c:dPt>
          <c:dPt>
            <c:idx val="20"/>
            <c:spPr>
              <a:solidFill>
                <a:schemeClr val="accent1">
                  <a:lumMod val="50000"/>
                </a:schemeClr>
              </a:solidFill>
              <a:ln>
                <a:noFill/>
              </a:ln>
            </c:spPr>
          </c:dPt>
          <c:cat>
            <c:strRef>
              <c:f>'[81201761se1g001.xlsx]Výdavky na zdravotníctvo'!$A$30:$A$58</c:f>
              <c:strCache>
                <c:ptCount val="29"/>
                <c:pt idx="0">
                  <c:v>Luxembursko</c:v>
                </c:pt>
                <c:pt idx="1">
                  <c:v>Nemecko</c:v>
                </c:pt>
                <c:pt idx="2">
                  <c:v>Holandsko</c:v>
                </c:pt>
                <c:pt idx="3">
                  <c:v>Írsko</c:v>
                </c:pt>
                <c:pt idx="4">
                  <c:v>Švédsko</c:v>
                </c:pt>
                <c:pt idx="5">
                  <c:v>Rakúsko</c:v>
                </c:pt>
                <c:pt idx="6">
                  <c:v>Dánsko</c:v>
                </c:pt>
                <c:pt idx="7">
                  <c:v>Belgicko</c:v>
                </c:pt>
                <c:pt idx="8">
                  <c:v>Francúzsko</c:v>
                </c:pt>
                <c:pt idx="9">
                  <c:v>Spojené kráľovstvo</c:v>
                </c:pt>
                <c:pt idx="10">
                  <c:v>Fínsko</c:v>
                </c:pt>
                <c:pt idx="11">
                  <c:v>EÚ</c:v>
                </c:pt>
                <c:pt idx="12">
                  <c:v>Taliansko</c:v>
                </c:pt>
                <c:pt idx="13">
                  <c:v>Španielsko</c:v>
                </c:pt>
                <c:pt idx="14">
                  <c:v>Malta</c:v>
                </c:pt>
                <c:pt idx="15">
                  <c:v>Slovinsko</c:v>
                </c:pt>
                <c:pt idx="16">
                  <c:v>Portugalsko</c:v>
                </c:pt>
                <c:pt idx="17">
                  <c:v>Česká republika</c:v>
                </c:pt>
                <c:pt idx="18">
                  <c:v>Grécko</c:v>
                </c:pt>
                <c:pt idx="19">
                  <c:v>Cyprus</c:v>
                </c:pt>
                <c:pt idx="20">
                  <c:v>Slovenská republika</c:v>
                </c:pt>
                <c:pt idx="21">
                  <c:v>Maďarsko</c:v>
                </c:pt>
                <c:pt idx="22">
                  <c:v>Estónsko</c:v>
                </c:pt>
                <c:pt idx="23">
                  <c:v>Litva</c:v>
                </c:pt>
                <c:pt idx="24">
                  <c:v>Poľsko</c:v>
                </c:pt>
                <c:pt idx="25">
                  <c:v>Chorvátsko</c:v>
                </c:pt>
                <c:pt idx="26">
                  <c:v>Bulharsko</c:v>
                </c:pt>
                <c:pt idx="27">
                  <c:v>Lotyšsko</c:v>
                </c:pt>
                <c:pt idx="28">
                  <c:v>Rumunsko</c:v>
                </c:pt>
              </c:strCache>
            </c:strRef>
          </c:cat>
          <c:val>
            <c:numRef>
              <c:f>'[81201761se1g001.xlsx]Výdavky na zdravotníctvo'!$C$30:$C$58</c:f>
              <c:numCache>
                <c:formatCode>0</c:formatCode>
                <c:ptCount val="29"/>
                <c:pt idx="0">
                  <c:v>5090.1320000000014</c:v>
                </c:pt>
                <c:pt idx="1">
                  <c:v>3996.1959999999999</c:v>
                </c:pt>
                <c:pt idx="2">
                  <c:v>3954.4530000000022</c:v>
                </c:pt>
                <c:pt idx="3">
                  <c:v>3938.8170000000105</c:v>
                </c:pt>
                <c:pt idx="4">
                  <c:v>3931.7619999999997</c:v>
                </c:pt>
                <c:pt idx="5">
                  <c:v>3807.6190000000001</c:v>
                </c:pt>
                <c:pt idx="6">
                  <c:v>3776.1309999999999</c:v>
                </c:pt>
                <c:pt idx="7">
                  <c:v>3567.52</c:v>
                </c:pt>
                <c:pt idx="8">
                  <c:v>3381.7249999999885</c:v>
                </c:pt>
                <c:pt idx="9">
                  <c:v>3079.8649999999998</c:v>
                </c:pt>
                <c:pt idx="10">
                  <c:v>2981.2539999999999</c:v>
                </c:pt>
                <c:pt idx="11">
                  <c:v>2796.6169568842674</c:v>
                </c:pt>
                <c:pt idx="12">
                  <c:v>2502.2539999999999</c:v>
                </c:pt>
                <c:pt idx="13">
                  <c:v>2374.1819999999998</c:v>
                </c:pt>
                <c:pt idx="14">
                  <c:v>2255.4839999999999</c:v>
                </c:pt>
                <c:pt idx="15">
                  <c:v>2038.777</c:v>
                </c:pt>
                <c:pt idx="16">
                  <c:v>1988.6839999999945</c:v>
                </c:pt>
                <c:pt idx="17">
                  <c:v>1817.239</c:v>
                </c:pt>
                <c:pt idx="18">
                  <c:v>1650.01</c:v>
                </c:pt>
                <c:pt idx="19">
                  <c:v>1591.74</c:v>
                </c:pt>
                <c:pt idx="20">
                  <c:v>1537.508</c:v>
                </c:pt>
                <c:pt idx="21">
                  <c:v>1428.1909999999998</c:v>
                </c:pt>
                <c:pt idx="22">
                  <c:v>1407.44</c:v>
                </c:pt>
                <c:pt idx="23">
                  <c:v>1406.0360000000001</c:v>
                </c:pt>
                <c:pt idx="24">
                  <c:v>1271.9100000000001</c:v>
                </c:pt>
                <c:pt idx="25">
                  <c:v>1240.7280000000001</c:v>
                </c:pt>
                <c:pt idx="26">
                  <c:v>1116.712</c:v>
                </c:pt>
                <c:pt idx="27">
                  <c:v>1070.866</c:v>
                </c:pt>
                <c:pt idx="28">
                  <c:v>814.32999999999947</c:v>
                </c:pt>
              </c:numCache>
            </c:numRef>
          </c:val>
        </c:ser>
        <c:gapWidth val="50"/>
        <c:axId val="81750656"/>
        <c:axId val="81753600"/>
      </c:barChart>
      <c:lineChart>
        <c:grouping val="standard"/>
        <c:ser>
          <c:idx val="1"/>
          <c:order val="0"/>
          <c:tx>
            <c:strRef>
              <c:f>'[81201761se1g001.xlsx]Výdavky na zdravotníctvo'!$B$29</c:f>
              <c:strCache>
                <c:ptCount val="1"/>
                <c:pt idx="0">
                  <c:v>Podiel HDP (pravá os)</c:v>
                </c:pt>
              </c:strCache>
            </c:strRef>
          </c:tx>
          <c:spPr>
            <a:ln>
              <a:noFill/>
            </a:ln>
          </c:spPr>
          <c:marker>
            <c:symbol val="diamond"/>
            <c:size val="7"/>
            <c:spPr>
              <a:solidFill>
                <a:schemeClr val="accent3">
                  <a:lumMod val="60000"/>
                  <a:lumOff val="40000"/>
                </a:schemeClr>
              </a:solidFill>
              <a:ln>
                <a:solidFill>
                  <a:schemeClr val="tx1"/>
                </a:solidFill>
              </a:ln>
            </c:spPr>
          </c:marker>
          <c:dPt>
            <c:idx val="11"/>
            <c:marker>
              <c:spPr>
                <a:solidFill>
                  <a:schemeClr val="accent2">
                    <a:lumMod val="60000"/>
                    <a:lumOff val="40000"/>
                  </a:schemeClr>
                </a:solidFill>
                <a:ln>
                  <a:solidFill>
                    <a:schemeClr val="tx1"/>
                  </a:solidFill>
                </a:ln>
              </c:spPr>
            </c:marker>
          </c:dPt>
          <c:dPt>
            <c:idx val="20"/>
            <c:marker>
              <c:spPr>
                <a:solidFill>
                  <a:schemeClr val="accent1">
                    <a:lumMod val="60000"/>
                    <a:lumOff val="40000"/>
                  </a:schemeClr>
                </a:solidFill>
                <a:ln>
                  <a:solidFill>
                    <a:schemeClr val="tx1"/>
                  </a:solidFill>
                </a:ln>
              </c:spPr>
            </c:marker>
          </c:dPt>
          <c:cat>
            <c:strRef>
              <c:f>'[81201761se1g001.xlsx]Výdavky na zdravotníctvo'!$A$30:$A$58</c:f>
              <c:strCache>
                <c:ptCount val="29"/>
                <c:pt idx="0">
                  <c:v>Luxembursko</c:v>
                </c:pt>
                <c:pt idx="1">
                  <c:v>Nemecko</c:v>
                </c:pt>
                <c:pt idx="2">
                  <c:v>Holandsko</c:v>
                </c:pt>
                <c:pt idx="3">
                  <c:v>Írsko</c:v>
                </c:pt>
                <c:pt idx="4">
                  <c:v>Švédsko</c:v>
                </c:pt>
                <c:pt idx="5">
                  <c:v>Rakúsko</c:v>
                </c:pt>
                <c:pt idx="6">
                  <c:v>Dánsko</c:v>
                </c:pt>
                <c:pt idx="7">
                  <c:v>Belgicko</c:v>
                </c:pt>
                <c:pt idx="8">
                  <c:v>Francúzsko</c:v>
                </c:pt>
                <c:pt idx="9">
                  <c:v>Spojené kráľovstvo</c:v>
                </c:pt>
                <c:pt idx="10">
                  <c:v>Fínsko</c:v>
                </c:pt>
                <c:pt idx="11">
                  <c:v>EÚ</c:v>
                </c:pt>
                <c:pt idx="12">
                  <c:v>Taliansko</c:v>
                </c:pt>
                <c:pt idx="13">
                  <c:v>Španielsko</c:v>
                </c:pt>
                <c:pt idx="14">
                  <c:v>Malta</c:v>
                </c:pt>
                <c:pt idx="15">
                  <c:v>Slovinsko</c:v>
                </c:pt>
                <c:pt idx="16">
                  <c:v>Portugalsko</c:v>
                </c:pt>
                <c:pt idx="17">
                  <c:v>Česká republika</c:v>
                </c:pt>
                <c:pt idx="18">
                  <c:v>Grécko</c:v>
                </c:pt>
                <c:pt idx="19">
                  <c:v>Cyprus</c:v>
                </c:pt>
                <c:pt idx="20">
                  <c:v>Slovenská republika</c:v>
                </c:pt>
                <c:pt idx="21">
                  <c:v>Maďarsko</c:v>
                </c:pt>
                <c:pt idx="22">
                  <c:v>Estónsko</c:v>
                </c:pt>
                <c:pt idx="23">
                  <c:v>Litva</c:v>
                </c:pt>
                <c:pt idx="24">
                  <c:v>Poľsko</c:v>
                </c:pt>
                <c:pt idx="25">
                  <c:v>Chorvátsko</c:v>
                </c:pt>
                <c:pt idx="26">
                  <c:v>Bulharsko</c:v>
                </c:pt>
                <c:pt idx="27">
                  <c:v>Lotyšsko</c:v>
                </c:pt>
                <c:pt idx="28">
                  <c:v>Rumunsko</c:v>
                </c:pt>
              </c:strCache>
            </c:strRef>
          </c:cat>
          <c:val>
            <c:numRef>
              <c:f>'[81201761se1g001.xlsx]Výdavky na zdravotníctvo'!$B$30:$B$58</c:f>
              <c:numCache>
                <c:formatCode>0.0</c:formatCode>
                <c:ptCount val="29"/>
                <c:pt idx="0">
                  <c:v>6.048</c:v>
                </c:pt>
                <c:pt idx="1">
                  <c:v>11.152000000000006</c:v>
                </c:pt>
                <c:pt idx="2">
                  <c:v>10.69</c:v>
                </c:pt>
                <c:pt idx="3">
                  <c:v>7.7610000000000001</c:v>
                </c:pt>
                <c:pt idx="4">
                  <c:v>11.012</c:v>
                </c:pt>
                <c:pt idx="5">
                  <c:v>10.32</c:v>
                </c:pt>
                <c:pt idx="6">
                  <c:v>10.326000000000002</c:v>
                </c:pt>
                <c:pt idx="7">
                  <c:v>10.477</c:v>
                </c:pt>
                <c:pt idx="8">
                  <c:v>11.066000000000004</c:v>
                </c:pt>
                <c:pt idx="9">
                  <c:v>9.8770000000000007</c:v>
                </c:pt>
                <c:pt idx="10">
                  <c:v>9.4460000000000015</c:v>
                </c:pt>
                <c:pt idx="11">
                  <c:v>9.9249011758234609</c:v>
                </c:pt>
                <c:pt idx="12">
                  <c:v>8.9960000000000004</c:v>
                </c:pt>
                <c:pt idx="13">
                  <c:v>9.1650000000000027</c:v>
                </c:pt>
                <c:pt idx="14">
                  <c:v>8.4270000000000014</c:v>
                </c:pt>
                <c:pt idx="15">
                  <c:v>8.543000000000001</c:v>
                </c:pt>
                <c:pt idx="16">
                  <c:v>8.9720000000000066</c:v>
                </c:pt>
                <c:pt idx="17">
                  <c:v>7.2130000000000001</c:v>
                </c:pt>
                <c:pt idx="18">
                  <c:v>8.3850000000000247</c:v>
                </c:pt>
                <c:pt idx="19">
                  <c:v>6.7649999999999855</c:v>
                </c:pt>
                <c:pt idx="20">
                  <c:v>6.8860000000000001</c:v>
                </c:pt>
                <c:pt idx="21">
                  <c:v>7.2359999999999998</c:v>
                </c:pt>
                <c:pt idx="22">
                  <c:v>6.5129999999999955</c:v>
                </c:pt>
                <c:pt idx="23">
                  <c:v>6.5139999999999985</c:v>
                </c:pt>
                <c:pt idx="24">
                  <c:v>6.3439999999999985</c:v>
                </c:pt>
                <c:pt idx="25">
                  <c:v>7.4029999999999996</c:v>
                </c:pt>
                <c:pt idx="26">
                  <c:v>8.2030000000000012</c:v>
                </c:pt>
                <c:pt idx="27">
                  <c:v>5.7610000000000001</c:v>
                </c:pt>
                <c:pt idx="28">
                  <c:v>4.9459999999999997</c:v>
                </c:pt>
              </c:numCache>
            </c:numRef>
          </c:val>
        </c:ser>
        <c:marker val="1"/>
        <c:axId val="81777792"/>
        <c:axId val="81755136"/>
      </c:lineChart>
      <c:catAx>
        <c:axId val="81750656"/>
        <c:scaling>
          <c:orientation val="minMax"/>
        </c:scaling>
        <c:axPos val="b"/>
        <c:majorGridlines>
          <c:spPr>
            <a:ln>
              <a:solidFill>
                <a:schemeClr val="bg1">
                  <a:lumMod val="75000"/>
                </a:schemeClr>
              </a:solidFill>
            </a:ln>
          </c:spPr>
        </c:majorGridlines>
        <c:numFmt formatCode="General" sourceLinked="1"/>
        <c:tickLblPos val="nextTo"/>
        <c:txPr>
          <a:bodyPr/>
          <a:lstStyle/>
          <a:p>
            <a:pPr>
              <a:defRPr lang="en-GB" sz="900"/>
            </a:pPr>
            <a:endParaRPr lang="sk-SK"/>
          </a:p>
        </c:txPr>
        <c:crossAx val="81753600"/>
        <c:crosses val="autoZero"/>
        <c:auto val="1"/>
        <c:lblAlgn val="ctr"/>
        <c:lblOffset val="100"/>
      </c:catAx>
      <c:valAx>
        <c:axId val="81753600"/>
        <c:scaling>
          <c:orientation val="minMax"/>
          <c:max val="6000"/>
          <c:min val="0"/>
        </c:scaling>
        <c:axPos val="l"/>
        <c:majorGridlines>
          <c:spPr>
            <a:ln>
              <a:solidFill>
                <a:schemeClr val="bg1">
                  <a:lumMod val="75000"/>
                </a:schemeClr>
              </a:solidFill>
            </a:ln>
          </c:spPr>
        </c:majorGridlines>
        <c:numFmt formatCode="0" sourceLinked="1"/>
        <c:tickLblPos val="nextTo"/>
        <c:txPr>
          <a:bodyPr/>
          <a:lstStyle/>
          <a:p>
            <a:pPr>
              <a:defRPr lang="en-GB"/>
            </a:pPr>
            <a:endParaRPr lang="sk-SK"/>
          </a:p>
        </c:txPr>
        <c:crossAx val="81750656"/>
        <c:crosses val="autoZero"/>
        <c:crossBetween val="between"/>
      </c:valAx>
      <c:valAx>
        <c:axId val="81755136"/>
        <c:scaling>
          <c:orientation val="minMax"/>
        </c:scaling>
        <c:axPos val="r"/>
        <c:numFmt formatCode="0" sourceLinked="0"/>
        <c:tickLblPos val="nextTo"/>
        <c:txPr>
          <a:bodyPr/>
          <a:lstStyle/>
          <a:p>
            <a:pPr>
              <a:defRPr lang="en-GB"/>
            </a:pPr>
            <a:endParaRPr lang="sk-SK"/>
          </a:p>
        </c:txPr>
        <c:crossAx val="81777792"/>
        <c:crosses val="max"/>
        <c:crossBetween val="between"/>
      </c:valAx>
      <c:catAx>
        <c:axId val="81777792"/>
        <c:scaling>
          <c:orientation val="minMax"/>
        </c:scaling>
        <c:delete val="1"/>
        <c:axPos val="b"/>
        <c:numFmt formatCode="General" sourceLinked="1"/>
        <c:tickLblPos val="nextTo"/>
        <c:crossAx val="81755136"/>
        <c:crosses val="autoZero"/>
        <c:auto val="1"/>
        <c:lblAlgn val="ctr"/>
        <c:lblOffset val="100"/>
      </c:catAx>
    </c:plotArea>
    <c:legend>
      <c:legendPos val="t"/>
      <c:layout>
        <c:manualLayout>
          <c:xMode val="edge"/>
          <c:yMode val="edge"/>
          <c:x val="0.17574807892919594"/>
          <c:y val="2.5063755180108411E-2"/>
          <c:w val="0.6263566506516216"/>
          <c:h val="4.0892450758019297E-2"/>
        </c:manualLayout>
      </c:layout>
      <c:txPr>
        <a:bodyPr/>
        <a:lstStyle/>
        <a:p>
          <a:pPr>
            <a:defRPr lang="en-GB" sz="1000"/>
          </a:pPr>
          <a:endParaRPr lang="sk-SK"/>
        </a:p>
      </c:txPr>
    </c:legend>
    <c:plotVisOnly val="1"/>
    <c:dispBlanksAs val="gap"/>
  </c:chart>
  <c:spPr>
    <a:ln>
      <a:noFill/>
    </a:ln>
  </c:spPr>
  <c:txPr>
    <a:bodyPr/>
    <a:lstStyle/>
    <a:p>
      <a:pPr>
        <a:defRPr sz="1000">
          <a:latin typeface="Arial" panose="020B0604020202020204" pitchFamily="34" charset="0"/>
          <a:cs typeface="Arial" panose="020B0604020202020204" pitchFamily="34" charset="0"/>
        </a:defRPr>
      </a:pPr>
      <a:endParaRPr lang="sk-SK"/>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plotArea>
      <c:layout>
        <c:manualLayout>
          <c:layoutTarget val="inner"/>
          <c:xMode val="edge"/>
          <c:yMode val="edge"/>
          <c:x val="3.5729094161589502E-2"/>
          <c:y val="8.114988433574602E-2"/>
          <c:w val="0.84100801083558141"/>
          <c:h val="0.79720000052086371"/>
        </c:manualLayout>
      </c:layout>
      <c:scatterChart>
        <c:scatterStyle val="lineMarker"/>
        <c:ser>
          <c:idx val="0"/>
          <c:order val="0"/>
          <c:spPr>
            <a:ln w="28575">
              <a:noFill/>
            </a:ln>
          </c:spPr>
          <c:marker>
            <c:symbol val="diamond"/>
            <c:size val="9"/>
            <c:spPr>
              <a:ln>
                <a:noFill/>
              </a:ln>
            </c:spPr>
          </c:marker>
          <c:dPt>
            <c:idx val="23"/>
            <c:marker>
              <c:spPr>
                <a:solidFill>
                  <a:schemeClr val="accent1">
                    <a:lumMod val="50000"/>
                  </a:schemeClr>
                </a:solidFill>
                <a:ln>
                  <a:noFill/>
                </a:ln>
              </c:spPr>
            </c:marker>
          </c:dPt>
          <c:dPt>
            <c:idx val="28"/>
            <c:marker>
              <c:spPr>
                <a:solidFill>
                  <a:srgbClr val="C00000"/>
                </a:solidFill>
                <a:ln>
                  <a:noFill/>
                </a:ln>
              </c:spPr>
            </c:marker>
          </c:dPt>
          <c:dLbls>
            <c:dLbl>
              <c:idx val="0"/>
              <c:tx>
                <c:strRef>
                  <c:f>'[81201761se1g001.xlsx]Lekári a zdravotné sestry'!$B$39</c:f>
                  <c:strCache>
                    <c:ptCount val="1"/>
                    <c:pt idx="0">
                      <c:v>AT</c:v>
                    </c:pt>
                  </c:strCache>
                </c:strRef>
              </c:tx>
              <c:dLblPos val="r"/>
              <c:showVal val="1"/>
            </c:dLbl>
            <c:dLbl>
              <c:idx val="1"/>
              <c:layout>
                <c:manualLayout>
                  <c:x val="-6.5252865988082526E-2"/>
                  <c:y val="-5.5491848241636841E-17"/>
                </c:manualLayout>
              </c:layout>
              <c:tx>
                <c:strRef>
                  <c:f>'[81201761se1g001.xlsx]Lekári a zdravotné sestry'!$B$40</c:f>
                  <c:strCache>
                    <c:ptCount val="1"/>
                    <c:pt idx="0">
                      <c:v>BE</c:v>
                    </c:pt>
                  </c:strCache>
                </c:strRef>
              </c:tx>
              <c:dLblPos val="r"/>
              <c:showVal val="1"/>
            </c:dLbl>
            <c:dLbl>
              <c:idx val="2"/>
              <c:layout>
                <c:manualLayout>
                  <c:x val="-6.5252865988082486E-3"/>
                  <c:y val="-3.0268630520837352E-3"/>
                </c:manualLayout>
              </c:layout>
              <c:tx>
                <c:strRef>
                  <c:f>'[81201761se1g001.xlsx]Lekári a zdravotné sestry'!$B$41</c:f>
                  <c:strCache>
                    <c:ptCount val="1"/>
                    <c:pt idx="0">
                      <c:v>BG</c:v>
                    </c:pt>
                  </c:strCache>
                </c:strRef>
              </c:tx>
              <c:dLblPos val="r"/>
              <c:showVal val="1"/>
            </c:dLbl>
            <c:dLbl>
              <c:idx val="3"/>
              <c:layout>
                <c:manualLayout>
                  <c:x val="-5.655248385633873E-2"/>
                  <c:y val="1.2107452208334937E-2"/>
                </c:manualLayout>
              </c:layout>
              <c:tx>
                <c:strRef>
                  <c:f>'[81201761se1g001.xlsx]Lekári a zdravotné sestry'!$B$42</c:f>
                  <c:strCache>
                    <c:ptCount val="1"/>
                    <c:pt idx="0">
                      <c:v>HR</c:v>
                    </c:pt>
                  </c:strCache>
                </c:strRef>
              </c:tx>
              <c:dLblPos val="r"/>
              <c:showVal val="1"/>
            </c:dLbl>
            <c:dLbl>
              <c:idx val="4"/>
              <c:layout>
                <c:manualLayout>
                  <c:x val="-1.7400764263488772E-2"/>
                  <c:y val="6.6590987145842134E-2"/>
                </c:manualLayout>
              </c:layout>
              <c:tx>
                <c:strRef>
                  <c:f>'[81201761se1g001.xlsx]Lekári a zdravotné sestry'!$B$43</c:f>
                  <c:strCache>
                    <c:ptCount val="1"/>
                    <c:pt idx="0">
                      <c:v>CY</c:v>
                    </c:pt>
                  </c:strCache>
                </c:strRef>
              </c:tx>
              <c:dLblPos val="r"/>
              <c:showVal val="1"/>
            </c:dLbl>
            <c:dLbl>
              <c:idx val="5"/>
              <c:layout>
                <c:manualLayout>
                  <c:x val="-3.9151719592849556E-2"/>
                  <c:y val="2.4214904416670017E-2"/>
                </c:manualLayout>
              </c:layout>
              <c:tx>
                <c:strRef>
                  <c:f>'[81201761se1g001.xlsx]Lekári a zdravotné sestry'!$B$44</c:f>
                  <c:strCache>
                    <c:ptCount val="1"/>
                    <c:pt idx="0">
                      <c:v>CZ</c:v>
                    </c:pt>
                  </c:strCache>
                </c:strRef>
              </c:tx>
              <c:dLblPos val="r"/>
              <c:showVal val="1"/>
            </c:dLbl>
            <c:dLbl>
              <c:idx val="6"/>
              <c:tx>
                <c:strRef>
                  <c:f>'[81201761se1g001.xlsx]Lekári a zdravotné sestry'!$B$45</c:f>
                  <c:strCache>
                    <c:ptCount val="1"/>
                    <c:pt idx="0">
                      <c:v>DK</c:v>
                    </c:pt>
                  </c:strCache>
                </c:strRef>
              </c:tx>
              <c:dLblPos val="r"/>
              <c:showVal val="1"/>
            </c:dLbl>
            <c:dLbl>
              <c:idx val="7"/>
              <c:layout>
                <c:manualLayout>
                  <c:x val="-3.4801528526977557E-2"/>
                  <c:y val="-2.724176746875397E-2"/>
                </c:manualLayout>
              </c:layout>
              <c:tx>
                <c:strRef>
                  <c:f>'[81201761se1g001.xlsx]Lekári a zdravotné sestry'!$B$46</c:f>
                  <c:strCache>
                    <c:ptCount val="1"/>
                    <c:pt idx="0">
                      <c:v>EE</c:v>
                    </c:pt>
                  </c:strCache>
                </c:strRef>
              </c:tx>
              <c:dLblPos val="r"/>
              <c:showVal val="1"/>
            </c:dLbl>
            <c:dLbl>
              <c:idx val="8"/>
              <c:tx>
                <c:strRef>
                  <c:f>'[81201761se1g001.xlsx]Lekári a zdravotné sestry'!$B$47</c:f>
                  <c:strCache>
                    <c:ptCount val="1"/>
                    <c:pt idx="0">
                      <c:v>FI</c:v>
                    </c:pt>
                  </c:strCache>
                </c:strRef>
              </c:tx>
              <c:dLblPos val="r"/>
              <c:showVal val="1"/>
            </c:dLbl>
            <c:dLbl>
              <c:idx val="9"/>
              <c:layout>
                <c:manualLayout>
                  <c:x val="-3.6976624059913442E-2"/>
                  <c:y val="2.7241290797406979E-2"/>
                </c:manualLayout>
              </c:layout>
              <c:tx>
                <c:strRef>
                  <c:f>'[81201761se1g001.xlsx]Lekári a zdravotné sestry'!$B$48</c:f>
                  <c:strCache>
                    <c:ptCount val="1"/>
                    <c:pt idx="0">
                      <c:v>FR</c:v>
                    </c:pt>
                  </c:strCache>
                </c:strRef>
              </c:tx>
              <c:dLblPos val="r"/>
              <c:showVal val="1"/>
            </c:dLbl>
            <c:dLbl>
              <c:idx val="10"/>
              <c:tx>
                <c:strRef>
                  <c:f>'[81201761se1g001.xlsx]Lekári a zdravotné sestry'!$B$49</c:f>
                  <c:strCache>
                    <c:ptCount val="1"/>
                    <c:pt idx="0">
                      <c:v>DE</c:v>
                    </c:pt>
                  </c:strCache>
                </c:strRef>
              </c:tx>
              <c:dLblPos val="r"/>
              <c:showVal val="1"/>
            </c:dLbl>
            <c:dLbl>
              <c:idx val="11"/>
              <c:tx>
                <c:strRef>
                  <c:f>'[81201761se1g001.xlsx]Lekári a zdravotné sestry'!$B$50</c:f>
                  <c:strCache>
                    <c:ptCount val="1"/>
                    <c:pt idx="0">
                      <c:v>EL</c:v>
                    </c:pt>
                  </c:strCache>
                </c:strRef>
              </c:tx>
              <c:dLblPos val="r"/>
              <c:showVal val="1"/>
            </c:dLbl>
            <c:dLbl>
              <c:idx val="12"/>
              <c:layout>
                <c:manualLayout>
                  <c:x val="-3.4801528526977515E-2"/>
                  <c:y val="-3.0268630520837336E-2"/>
                </c:manualLayout>
              </c:layout>
              <c:tx>
                <c:strRef>
                  <c:f>'[81201761se1g001.xlsx]Lekári a zdravotné sestry'!$B$51</c:f>
                  <c:strCache>
                    <c:ptCount val="1"/>
                    <c:pt idx="0">
                      <c:v>HU</c:v>
                    </c:pt>
                  </c:strCache>
                </c:strRef>
              </c:tx>
              <c:dLblPos val="r"/>
              <c:showVal val="1"/>
            </c:dLbl>
            <c:dLbl>
              <c:idx val="13"/>
              <c:layout>
                <c:manualLayout>
                  <c:x val="-5.8727579389274281E-2"/>
                  <c:y val="-3.0268630520837352E-3"/>
                </c:manualLayout>
              </c:layout>
              <c:tx>
                <c:strRef>
                  <c:f>'[81201761se1g001.xlsx]Lekári a zdravotné sestry'!$B$52</c:f>
                  <c:strCache>
                    <c:ptCount val="1"/>
                    <c:pt idx="0">
                      <c:v>IE</c:v>
                    </c:pt>
                  </c:strCache>
                </c:strRef>
              </c:tx>
              <c:dLblPos val="r"/>
              <c:showVal val="1"/>
            </c:dLbl>
            <c:dLbl>
              <c:idx val="14"/>
              <c:layout>
                <c:manualLayout>
                  <c:x val="-3.0451337461105493E-2"/>
                  <c:y val="-2.724176746875397E-2"/>
                </c:manualLayout>
              </c:layout>
              <c:tx>
                <c:strRef>
                  <c:f>'[81201761se1g001.xlsx]Lekári a zdravotné sestry'!$B$53</c:f>
                  <c:strCache>
                    <c:ptCount val="1"/>
                    <c:pt idx="0">
                      <c:v>IT</c:v>
                    </c:pt>
                  </c:strCache>
                </c:strRef>
              </c:tx>
              <c:dLblPos val="r"/>
              <c:showVal val="1"/>
            </c:dLbl>
            <c:dLbl>
              <c:idx val="15"/>
              <c:layout>
                <c:manualLayout>
                  <c:x val="-6.0902674922210957E-2"/>
                  <c:y val="-3.0268630520837352E-3"/>
                </c:manualLayout>
              </c:layout>
              <c:tx>
                <c:strRef>
                  <c:f>'[81201761se1g001.xlsx]Lekári a zdravotné sestry'!$B$54</c:f>
                  <c:strCache>
                    <c:ptCount val="1"/>
                    <c:pt idx="0">
                      <c:v>LV</c:v>
                    </c:pt>
                  </c:strCache>
                </c:strRef>
              </c:tx>
              <c:dLblPos val="r"/>
              <c:showVal val="1"/>
            </c:dLbl>
            <c:dLbl>
              <c:idx val="16"/>
              <c:tx>
                <c:strRef>
                  <c:f>'[81201761se1g001.xlsx]Lekári a zdravotné sestry'!$B$55</c:f>
                  <c:strCache>
                    <c:ptCount val="1"/>
                    <c:pt idx="0">
                      <c:v>LT</c:v>
                    </c:pt>
                  </c:strCache>
                </c:strRef>
              </c:tx>
              <c:dLblPos val="r"/>
              <c:showVal val="1"/>
            </c:dLbl>
            <c:dLbl>
              <c:idx val="17"/>
              <c:layout>
                <c:manualLayout>
                  <c:x val="-8.7003821317443528E-3"/>
                  <c:y val="-3.0268630520837352E-3"/>
                </c:manualLayout>
              </c:layout>
              <c:tx>
                <c:strRef>
                  <c:f>'[81201761se1g001.xlsx]Lekári a zdravotné sestry'!$B$56</c:f>
                  <c:strCache>
                    <c:ptCount val="1"/>
                    <c:pt idx="0">
                      <c:v>LU</c:v>
                    </c:pt>
                  </c:strCache>
                </c:strRef>
              </c:tx>
              <c:dLblPos val="r"/>
              <c:showVal val="1"/>
            </c:dLbl>
            <c:dLbl>
              <c:idx val="18"/>
              <c:layout>
                <c:manualLayout>
                  <c:x val="-1.0875477664680505E-2"/>
                  <c:y val="0"/>
                </c:manualLayout>
              </c:layout>
              <c:tx>
                <c:strRef>
                  <c:f>'[81201761se1g001.xlsx]Lekári a zdravotné sestry'!$B$57</c:f>
                  <c:strCache>
                    <c:ptCount val="1"/>
                    <c:pt idx="0">
                      <c:v>MT</c:v>
                    </c:pt>
                  </c:strCache>
                </c:strRef>
              </c:tx>
              <c:dLblPos val="r"/>
              <c:showVal val="1"/>
            </c:dLbl>
            <c:dLbl>
              <c:idx val="19"/>
              <c:layout>
                <c:manualLayout>
                  <c:x val="-3.4801528526977557E-2"/>
                  <c:y val="-3.6322356625004742E-2"/>
                </c:manualLayout>
              </c:layout>
              <c:tx>
                <c:strRef>
                  <c:f>'[81201761se1g001.xlsx]Lekári a zdravotné sestry'!$B$58</c:f>
                  <c:strCache>
                    <c:ptCount val="1"/>
                    <c:pt idx="0">
                      <c:v>NL</c:v>
                    </c:pt>
                  </c:strCache>
                </c:strRef>
              </c:tx>
              <c:dLblPos val="r"/>
              <c:showVal val="1"/>
            </c:dLbl>
            <c:dLbl>
              <c:idx val="20"/>
              <c:layout>
                <c:manualLayout>
                  <c:x val="-6.5252865988082526E-2"/>
                  <c:y val="0"/>
                </c:manualLayout>
              </c:layout>
              <c:tx>
                <c:strRef>
                  <c:f>'[81201761se1g001.xlsx]Lekári a zdravotné sestry'!$B$59</c:f>
                  <c:strCache>
                    <c:ptCount val="1"/>
                    <c:pt idx="0">
                      <c:v>PL</c:v>
                    </c:pt>
                  </c:strCache>
                </c:strRef>
              </c:tx>
              <c:dLblPos val="r"/>
              <c:showVal val="1"/>
            </c:dLbl>
            <c:dLbl>
              <c:idx val="21"/>
              <c:tx>
                <c:strRef>
                  <c:f>'[81201761se1g001.xlsx]Lekári a zdravotné sestry'!$B$60</c:f>
                  <c:strCache>
                    <c:ptCount val="1"/>
                    <c:pt idx="0">
                      <c:v>PT</c:v>
                    </c:pt>
                  </c:strCache>
                </c:strRef>
              </c:tx>
              <c:dLblPos val="r"/>
              <c:showVal val="1"/>
            </c:dLbl>
            <c:dLbl>
              <c:idx val="22"/>
              <c:layout>
                <c:manualLayout>
                  <c:x val="-7.1778152586890756E-2"/>
                  <c:y val="0"/>
                </c:manualLayout>
              </c:layout>
              <c:tx>
                <c:strRef>
                  <c:f>'[81201761se1g001.xlsx]Lekári a zdravotné sestry'!$B$61</c:f>
                  <c:strCache>
                    <c:ptCount val="1"/>
                    <c:pt idx="0">
                      <c:v>RO</c:v>
                    </c:pt>
                  </c:strCache>
                </c:strRef>
              </c:tx>
              <c:dLblPos val="r"/>
              <c:showVal val="1"/>
            </c:dLbl>
            <c:dLbl>
              <c:idx val="23"/>
              <c:layout>
                <c:manualLayout>
                  <c:x val="-4.3501910658721832E-2"/>
                  <c:y val="7.2644713250009596E-2"/>
                </c:manualLayout>
              </c:layout>
              <c:tx>
                <c:strRef>
                  <c:f>'[81201761se1g001.xlsx]Lekári a zdravotné sestry'!$B$62</c:f>
                  <c:strCache>
                    <c:ptCount val="1"/>
                    <c:pt idx="0">
                      <c:v>SK</c:v>
                    </c:pt>
                  </c:strCache>
                </c:strRef>
              </c:tx>
              <c:spPr/>
              <c:txPr>
                <a:bodyPr/>
                <a:lstStyle/>
                <a:p>
                  <a:pPr>
                    <a:defRPr lang="en-GB" b="1"/>
                  </a:pPr>
                  <a:endParaRPr lang="sk-SK"/>
                </a:p>
              </c:txPr>
              <c:dLblPos val="r"/>
              <c:showVal val="1"/>
            </c:dLbl>
            <c:dLbl>
              <c:idx val="24"/>
              <c:layout>
                <c:manualLayout>
                  <c:x val="-5.6552483856338778E-2"/>
                  <c:y val="-6.0537261041674834E-3"/>
                </c:manualLayout>
              </c:layout>
              <c:tx>
                <c:strRef>
                  <c:f>'[81201761se1g001.xlsx]Lekári a zdravotné sestry'!$B$63</c:f>
                  <c:strCache>
                    <c:ptCount val="1"/>
                    <c:pt idx="0">
                      <c:v>SI</c:v>
                    </c:pt>
                  </c:strCache>
                </c:strRef>
              </c:tx>
              <c:dLblPos val="r"/>
              <c:showVal val="1"/>
            </c:dLbl>
            <c:dLbl>
              <c:idx val="25"/>
              <c:layout>
                <c:manualLayout>
                  <c:x val="-3.6976624059913442E-2"/>
                  <c:y val="2.724176746875397E-2"/>
                </c:manualLayout>
              </c:layout>
              <c:tx>
                <c:strRef>
                  <c:f>'[81201761se1g001.xlsx]Lekári a zdravotné sestry'!$B$64</c:f>
                  <c:strCache>
                    <c:ptCount val="1"/>
                    <c:pt idx="0">
                      <c:v>ES</c:v>
                    </c:pt>
                  </c:strCache>
                </c:strRef>
              </c:tx>
              <c:dLblPos val="r"/>
              <c:showVal val="1"/>
            </c:dLbl>
            <c:dLbl>
              <c:idx val="26"/>
              <c:tx>
                <c:strRef>
                  <c:f>'[81201761se1g001.xlsx]Lekári a zdravotné sestry'!$B$65</c:f>
                  <c:strCache>
                    <c:ptCount val="1"/>
                    <c:pt idx="0">
                      <c:v>SE</c:v>
                    </c:pt>
                  </c:strCache>
                </c:strRef>
              </c:tx>
              <c:dLblPos val="r"/>
              <c:showVal val="1"/>
            </c:dLbl>
            <c:dLbl>
              <c:idx val="27"/>
              <c:layout>
                <c:manualLayout>
                  <c:x val="-6.5252865988082526E-2"/>
                  <c:y val="0"/>
                </c:manualLayout>
              </c:layout>
              <c:tx>
                <c:strRef>
                  <c:f>'[81201761se1g001.xlsx]Lekári a zdravotné sestry'!$B$66</c:f>
                  <c:strCache>
                    <c:ptCount val="1"/>
                    <c:pt idx="0">
                      <c:v>UK</c:v>
                    </c:pt>
                  </c:strCache>
                </c:strRef>
              </c:tx>
              <c:dLblPos val="r"/>
              <c:showVal val="1"/>
            </c:dLbl>
            <c:dLbl>
              <c:idx val="28"/>
              <c:layout>
                <c:manualLayout>
                  <c:x val="-1.3050573197616589E-2"/>
                  <c:y val="-2.7241767468754032E-2"/>
                </c:manualLayout>
              </c:layout>
              <c:tx>
                <c:strRef>
                  <c:f>'[81201761se1g001.xlsx]Lekári a zdravotné sestry'!$B$67</c:f>
                  <c:strCache>
                    <c:ptCount val="1"/>
                    <c:pt idx="0">
                      <c:v>EÚ</c:v>
                    </c:pt>
                  </c:strCache>
                </c:strRef>
              </c:tx>
              <c:spPr/>
              <c:txPr>
                <a:bodyPr/>
                <a:lstStyle/>
                <a:p>
                  <a:pPr>
                    <a:defRPr lang="en-GB" b="1">
                      <a:solidFill>
                        <a:srgbClr val="C00000"/>
                      </a:solidFill>
                    </a:defRPr>
                  </a:pPr>
                  <a:endParaRPr lang="sk-SK"/>
                </a:p>
              </c:txPr>
              <c:dLblPos val="r"/>
              <c:showVal val="1"/>
            </c:dLbl>
            <c:txPr>
              <a:bodyPr/>
              <a:lstStyle/>
              <a:p>
                <a:pPr>
                  <a:defRPr lang="en-GB"/>
                </a:pPr>
                <a:endParaRPr lang="sk-SK"/>
              </a:p>
            </c:txPr>
            <c:showVal val="1"/>
          </c:dLbls>
          <c:xVal>
            <c:numRef>
              <c:f>'[81201761se1g001.xlsx]Lekári a zdravotné sestry'!$C$39:$C$67</c:f>
              <c:numCache>
                <c:formatCode>0.0</c:formatCode>
                <c:ptCount val="29"/>
                <c:pt idx="0">
                  <c:v>5.0968999999999998</c:v>
                </c:pt>
                <c:pt idx="1">
                  <c:v>3.0175000000000001</c:v>
                </c:pt>
                <c:pt idx="2">
                  <c:v>4.0453999999999999</c:v>
                </c:pt>
                <c:pt idx="3">
                  <c:v>3.1914999999999987</c:v>
                </c:pt>
                <c:pt idx="4">
                  <c:v>3.57689999999999</c:v>
                </c:pt>
                <c:pt idx="5">
                  <c:v>3.6879000000000106</c:v>
                </c:pt>
                <c:pt idx="6">
                  <c:v>3.6570999999999998</c:v>
                </c:pt>
                <c:pt idx="7">
                  <c:v>3.4224999999999977</c:v>
                </c:pt>
                <c:pt idx="8">
                  <c:v>3.2063000000000001</c:v>
                </c:pt>
                <c:pt idx="9">
                  <c:v>3.3381999999999987</c:v>
                </c:pt>
                <c:pt idx="10">
                  <c:v>4.1393000000000004</c:v>
                </c:pt>
                <c:pt idx="11">
                  <c:v>6.3212000000000002</c:v>
                </c:pt>
                <c:pt idx="12">
                  <c:v>3.0972000000000004</c:v>
                </c:pt>
                <c:pt idx="13">
                  <c:v>2.8749999999999987</c:v>
                </c:pt>
                <c:pt idx="14">
                  <c:v>3.8382999999999967</c:v>
                </c:pt>
                <c:pt idx="15">
                  <c:v>3.1979000000000002</c:v>
                </c:pt>
                <c:pt idx="16">
                  <c:v>4.3391999999999999</c:v>
                </c:pt>
                <c:pt idx="17">
                  <c:v>2.9073000000000002</c:v>
                </c:pt>
                <c:pt idx="18">
                  <c:v>3.7881000000000116</c:v>
                </c:pt>
                <c:pt idx="19">
                  <c:v>3.4744999999999977</c:v>
                </c:pt>
                <c:pt idx="20">
                  <c:v>2.3281000000000001</c:v>
                </c:pt>
                <c:pt idx="21">
                  <c:v>4.6139999999999946</c:v>
                </c:pt>
                <c:pt idx="22">
                  <c:v>2.7658999999999998</c:v>
                </c:pt>
                <c:pt idx="23">
                  <c:v>3.4512999999999967</c:v>
                </c:pt>
                <c:pt idx="24">
                  <c:v>2.8252999999999977</c:v>
                </c:pt>
                <c:pt idx="25">
                  <c:v>3.8451999999999997</c:v>
                </c:pt>
                <c:pt idx="26">
                  <c:v>4.1911000000000005</c:v>
                </c:pt>
                <c:pt idx="27">
                  <c:v>2.7894000000000001</c:v>
                </c:pt>
                <c:pt idx="28">
                  <c:v>3.5517469804491224</c:v>
                </c:pt>
              </c:numCache>
            </c:numRef>
          </c:xVal>
          <c:yVal>
            <c:numRef>
              <c:f>'[81201761se1g001.xlsx]Lekári a zdravotné sestry'!$D$39:$D$67</c:f>
              <c:numCache>
                <c:formatCode>0.0</c:formatCode>
                <c:ptCount val="29"/>
                <c:pt idx="0">
                  <c:v>8.0522000000000027</c:v>
                </c:pt>
                <c:pt idx="1">
                  <c:v>10.832400000000026</c:v>
                </c:pt>
                <c:pt idx="2">
                  <c:v>4.3740999999999985</c:v>
                </c:pt>
                <c:pt idx="3">
                  <c:v>5.8346</c:v>
                </c:pt>
                <c:pt idx="4">
                  <c:v>5.2308000000000003</c:v>
                </c:pt>
                <c:pt idx="5">
                  <c:v>8.0077000000000016</c:v>
                </c:pt>
                <c:pt idx="6">
                  <c:v>16.7011</c:v>
                </c:pt>
                <c:pt idx="7">
                  <c:v>6.0103</c:v>
                </c:pt>
                <c:pt idx="8">
                  <c:v>14.663500000000004</c:v>
                </c:pt>
                <c:pt idx="9">
                  <c:v>9.9155000000000246</c:v>
                </c:pt>
                <c:pt idx="10">
                  <c:v>13.343700000000002</c:v>
                </c:pt>
                <c:pt idx="11">
                  <c:v>3.2084000000000001</c:v>
                </c:pt>
                <c:pt idx="12">
                  <c:v>6.4687999999999999</c:v>
                </c:pt>
                <c:pt idx="13">
                  <c:v>11.909800000000002</c:v>
                </c:pt>
                <c:pt idx="14">
                  <c:v>5.4437000000000024</c:v>
                </c:pt>
                <c:pt idx="15">
                  <c:v>4.6840999999999955</c:v>
                </c:pt>
                <c:pt idx="16">
                  <c:v>7.6628999999999845</c:v>
                </c:pt>
                <c:pt idx="17">
                  <c:v>11.908300000000001</c:v>
                </c:pt>
                <c:pt idx="18">
                  <c:v>7.9444000000000008</c:v>
                </c:pt>
                <c:pt idx="19">
                  <c:v>10.466600000000026</c:v>
                </c:pt>
                <c:pt idx="20">
                  <c:v>5.1960999999999995</c:v>
                </c:pt>
                <c:pt idx="21">
                  <c:v>6.2883000000000004</c:v>
                </c:pt>
                <c:pt idx="22">
                  <c:v>6.4097000000000124</c:v>
                </c:pt>
                <c:pt idx="23">
                  <c:v>5.6977999999999955</c:v>
                </c:pt>
                <c:pt idx="24">
                  <c:v>8.782</c:v>
                </c:pt>
                <c:pt idx="25">
                  <c:v>5.2862000000000124</c:v>
                </c:pt>
                <c:pt idx="26">
                  <c:v>11.137199999999998</c:v>
                </c:pt>
                <c:pt idx="27">
                  <c:v>7.9019000000000004</c:v>
                </c:pt>
                <c:pt idx="28">
                  <c:v>8.4057764949118035</c:v>
                </c:pt>
              </c:numCache>
            </c:numRef>
          </c:yVal>
        </c:ser>
        <c:axId val="97919360"/>
        <c:axId val="105740544"/>
      </c:scatterChart>
      <c:valAx>
        <c:axId val="97919360"/>
        <c:scaling>
          <c:orientation val="minMax"/>
          <c:max val="7"/>
          <c:min val="1"/>
        </c:scaling>
        <c:axPos val="b"/>
        <c:majorGridlines>
          <c:spPr>
            <a:ln>
              <a:solidFill>
                <a:schemeClr val="bg1"/>
              </a:solidFill>
            </a:ln>
          </c:spPr>
        </c:majorGridlines>
        <c:title>
          <c:tx>
            <c:rich>
              <a:bodyPr/>
              <a:lstStyle/>
              <a:p>
                <a:pPr>
                  <a:defRPr lang="en-GB"/>
                </a:pPr>
                <a:r>
                  <a:rPr lang="en-GB" sz="900" b="0" dirty="0" err="1"/>
                  <a:t>Počet</a:t>
                </a:r>
                <a:r>
                  <a:rPr lang="en-GB" sz="900" b="0" dirty="0"/>
                  <a:t> </a:t>
                </a:r>
                <a:r>
                  <a:rPr lang="en-GB" sz="900" b="0" dirty="0" err="1"/>
                  <a:t>lekárov</a:t>
                </a:r>
                <a:r>
                  <a:rPr lang="en-GB" sz="900" b="0" dirty="0"/>
                  <a:t> </a:t>
                </a:r>
                <a:r>
                  <a:rPr lang="en-GB" sz="900" b="0" dirty="0" err="1"/>
                  <a:t>vykonávajúcich</a:t>
                </a:r>
                <a:r>
                  <a:rPr lang="en-GB" sz="900" b="0" dirty="0"/>
                  <a:t> </a:t>
                </a:r>
                <a:r>
                  <a:rPr lang="en-GB" sz="900" b="0" dirty="0" err="1"/>
                  <a:t>lekársku</a:t>
                </a:r>
                <a:r>
                  <a:rPr lang="en-GB" sz="900" b="0" dirty="0"/>
                  <a:t> </a:t>
                </a:r>
                <a:r>
                  <a:rPr lang="en-GB" sz="900" b="0" dirty="0" err="1"/>
                  <a:t>prax</a:t>
                </a:r>
                <a:r>
                  <a:rPr lang="en-GB" sz="900" b="0" dirty="0"/>
                  <a:t> </a:t>
                </a:r>
                <a:r>
                  <a:rPr lang="en-GB" sz="900" b="0" dirty="0" err="1"/>
                  <a:t>na</a:t>
                </a:r>
                <a:r>
                  <a:rPr lang="en-GB" sz="900" b="0" dirty="0"/>
                  <a:t> 1 000 </a:t>
                </a:r>
                <a:r>
                  <a:rPr lang="en-GB" sz="900" b="0" dirty="0" err="1"/>
                  <a:t>obyvateľov</a:t>
                </a:r>
                <a:r>
                  <a:rPr lang="en-GB" sz="900" b="0" dirty="0"/>
                  <a:t>, </a:t>
                </a:r>
                <a:r>
                  <a:rPr lang="en-GB" sz="900" b="0" dirty="0" smtClean="0"/>
                  <a:t>2015</a:t>
                </a:r>
                <a:endParaRPr lang="en-GB" sz="900" b="0" dirty="0"/>
              </a:p>
            </c:rich>
          </c:tx>
          <c:layout>
            <c:manualLayout>
              <c:xMode val="edge"/>
              <c:yMode val="edge"/>
              <c:x val="0.32406146704916228"/>
              <c:y val="0.9289442877875087"/>
            </c:manualLayout>
          </c:layout>
        </c:title>
        <c:numFmt formatCode="0" sourceLinked="0"/>
        <c:majorTickMark val="none"/>
        <c:tickLblPos val="low"/>
        <c:spPr>
          <a:ln>
            <a:solidFill>
              <a:srgbClr val="C00000"/>
            </a:solidFill>
          </a:ln>
        </c:spPr>
        <c:txPr>
          <a:bodyPr/>
          <a:lstStyle/>
          <a:p>
            <a:pPr>
              <a:defRPr lang="en-GB"/>
            </a:pPr>
            <a:endParaRPr lang="sk-SK"/>
          </a:p>
        </c:txPr>
        <c:crossAx val="105740544"/>
        <c:crossesAt val="8.41"/>
        <c:crossBetween val="midCat"/>
        <c:majorUnit val="1"/>
      </c:valAx>
      <c:valAx>
        <c:axId val="105740544"/>
        <c:scaling>
          <c:orientation val="minMax"/>
          <c:max val="20"/>
          <c:min val="0"/>
        </c:scaling>
        <c:axPos val="l"/>
        <c:majorGridlines>
          <c:spPr>
            <a:ln>
              <a:solidFill>
                <a:schemeClr val="bg1"/>
              </a:solidFill>
            </a:ln>
          </c:spPr>
        </c:majorGridlines>
        <c:numFmt formatCode="0" sourceLinked="0"/>
        <c:majorTickMark val="none"/>
        <c:tickLblPos val="low"/>
        <c:spPr>
          <a:ln>
            <a:solidFill>
              <a:srgbClr val="C00000"/>
            </a:solidFill>
          </a:ln>
        </c:spPr>
        <c:txPr>
          <a:bodyPr/>
          <a:lstStyle/>
          <a:p>
            <a:pPr>
              <a:defRPr lang="en-GB"/>
            </a:pPr>
            <a:endParaRPr lang="sk-SK"/>
          </a:p>
        </c:txPr>
        <c:crossAx val="97919360"/>
        <c:crossesAt val="3.55"/>
        <c:crossBetween val="midCat"/>
        <c:majorUnit val="5"/>
      </c:valAx>
      <c:spPr>
        <a:solidFill>
          <a:schemeClr val="bg1">
            <a:lumMod val="95000"/>
          </a:schemeClr>
        </a:solidFill>
        <a:ln>
          <a:solidFill>
            <a:schemeClr val="bg1">
              <a:lumMod val="50000"/>
            </a:schemeClr>
          </a:solidFill>
        </a:ln>
      </c:spPr>
    </c:plotArea>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sk-SK"/>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plotArea>
      <c:layout>
        <c:manualLayout>
          <c:layoutTarget val="inner"/>
          <c:xMode val="edge"/>
          <c:yMode val="edge"/>
          <c:x val="5.0156929684488739E-2"/>
          <c:y val="9.6489501312335288E-2"/>
          <c:w val="0.9380513854453314"/>
          <c:h val="0.70026141154244792"/>
        </c:manualLayout>
      </c:layout>
      <c:barChart>
        <c:barDir val="col"/>
        <c:grouping val="clustered"/>
        <c:ser>
          <c:idx val="0"/>
          <c:order val="0"/>
          <c:dPt>
            <c:idx val="16"/>
            <c:spPr>
              <a:solidFill>
                <a:schemeClr val="bg1">
                  <a:lumMod val="50000"/>
                </a:schemeClr>
              </a:solidFill>
            </c:spPr>
          </c:dPt>
          <c:dPt>
            <c:idx val="26"/>
            <c:spPr>
              <a:solidFill>
                <a:schemeClr val="accent3">
                  <a:lumMod val="75000"/>
                </a:schemeClr>
              </a:solidFill>
            </c:spPr>
          </c:dPt>
          <c:cat>
            <c:strRef>
              <c:f>'[81201761se1g001.xlsx]Podiel návštev centr. príjmu'!$A$32:$A$58</c:f>
              <c:strCache>
                <c:ptCount val="27"/>
                <c:pt idx="0">
                  <c:v>Dánsko</c:v>
                </c:pt>
                <c:pt idx="1">
                  <c:v>Belgicko</c:v>
                </c:pt>
                <c:pt idx="2">
                  <c:v>Grécko</c:v>
                </c:pt>
                <c:pt idx="3">
                  <c:v>Rumunsko</c:v>
                </c:pt>
                <c:pt idx="4">
                  <c:v>Írsko</c:v>
                </c:pt>
                <c:pt idx="5">
                  <c:v>Malta</c:v>
                </c:pt>
                <c:pt idx="6">
                  <c:v>Fínsko</c:v>
                </c:pt>
                <c:pt idx="7">
                  <c:v>Poľsko</c:v>
                </c:pt>
                <c:pt idx="8">
                  <c:v>Rakúsko</c:v>
                </c:pt>
                <c:pt idx="9">
                  <c:v>Litva</c:v>
                </c:pt>
                <c:pt idx="10">
                  <c:v>Lotyšsko</c:v>
                </c:pt>
                <c:pt idx="11">
                  <c:v>Maďarsko</c:v>
                </c:pt>
                <c:pt idx="12">
                  <c:v>Luxembursko</c:v>
                </c:pt>
                <c:pt idx="13">
                  <c:v>Taliansko</c:v>
                </c:pt>
                <c:pt idx="14">
                  <c:v>Španielsko</c:v>
                </c:pt>
                <c:pt idx="15">
                  <c:v>Cyprus</c:v>
                </c:pt>
                <c:pt idx="16">
                  <c:v>EÚ (26)</c:v>
                </c:pt>
                <c:pt idx="17">
                  <c:v>Holandsko</c:v>
                </c:pt>
                <c:pt idx="18">
                  <c:v>Nemecko</c:v>
                </c:pt>
                <c:pt idx="19">
                  <c:v>Portugalsko</c:v>
                </c:pt>
                <c:pt idx="20">
                  <c:v>Estónsko</c:v>
                </c:pt>
                <c:pt idx="21">
                  <c:v>Švédsko</c:v>
                </c:pt>
                <c:pt idx="22">
                  <c:v>Bulharsko</c:v>
                </c:pt>
                <c:pt idx="23">
                  <c:v>Anglicko</c:v>
                </c:pt>
                <c:pt idx="24">
                  <c:v>Slovinsko</c:v>
                </c:pt>
                <c:pt idx="25">
                  <c:v>Česká rep.</c:v>
                </c:pt>
                <c:pt idx="26">
                  <c:v>Slovenská rep.</c:v>
                </c:pt>
              </c:strCache>
            </c:strRef>
          </c:cat>
          <c:val>
            <c:numLit>
              <c:formatCode>General</c:formatCode>
              <c:ptCount val="27"/>
              <c:pt idx="0">
                <c:v>7.8</c:v>
              </c:pt>
              <c:pt idx="1">
                <c:v>10.7</c:v>
              </c:pt>
              <c:pt idx="2">
                <c:v>14.7</c:v>
              </c:pt>
              <c:pt idx="3">
                <c:v>14.9</c:v>
              </c:pt>
              <c:pt idx="4">
                <c:v>15.5</c:v>
              </c:pt>
              <c:pt idx="5">
                <c:v>16.5</c:v>
              </c:pt>
              <c:pt idx="6">
                <c:v>16.600000000000001</c:v>
              </c:pt>
              <c:pt idx="7">
                <c:v>17.899999999999999</c:v>
              </c:pt>
              <c:pt idx="8">
                <c:v>18.5</c:v>
              </c:pt>
              <c:pt idx="9">
                <c:v>21.8</c:v>
              </c:pt>
              <c:pt idx="10">
                <c:v>22.2</c:v>
              </c:pt>
              <c:pt idx="11">
                <c:v>22.3</c:v>
              </c:pt>
              <c:pt idx="12">
                <c:v>23.1</c:v>
              </c:pt>
              <c:pt idx="13">
                <c:v>23.3</c:v>
              </c:pt>
              <c:pt idx="14">
                <c:v>23.6</c:v>
              </c:pt>
              <c:pt idx="15">
                <c:v>24.3</c:v>
              </c:pt>
              <c:pt idx="16">
                <c:v>26.7</c:v>
              </c:pt>
              <c:pt idx="17">
                <c:v>28.7</c:v>
              </c:pt>
              <c:pt idx="18">
                <c:v>29</c:v>
              </c:pt>
              <c:pt idx="19">
                <c:v>30.6</c:v>
              </c:pt>
              <c:pt idx="20">
                <c:v>31</c:v>
              </c:pt>
              <c:pt idx="21">
                <c:v>31.9</c:v>
              </c:pt>
              <c:pt idx="22">
                <c:v>34.200000000000003</c:v>
              </c:pt>
              <c:pt idx="23">
                <c:v>38.700000000000003</c:v>
              </c:pt>
              <c:pt idx="24">
                <c:v>41.6</c:v>
              </c:pt>
              <c:pt idx="25">
                <c:v>51.9</c:v>
              </c:pt>
              <c:pt idx="26">
                <c:v>73.900000000000006</c:v>
              </c:pt>
            </c:numLit>
          </c:val>
        </c:ser>
        <c:gapWidth val="46"/>
        <c:overlap val="-22"/>
        <c:axId val="106214912"/>
        <c:axId val="106357888"/>
      </c:barChart>
      <c:catAx>
        <c:axId val="106214912"/>
        <c:scaling>
          <c:orientation val="minMax"/>
        </c:scaling>
        <c:axPos val="b"/>
        <c:numFmt formatCode="General" sourceLinked="0"/>
        <c:tickLblPos val="nextTo"/>
        <c:txPr>
          <a:bodyPr rot="-2700000" vert="horz"/>
          <a:lstStyle/>
          <a:p>
            <a:pPr>
              <a:defRPr lang="en-GB" sz="800" b="0" i="0" u="none" strike="noStrike" baseline="0">
                <a:solidFill>
                  <a:srgbClr val="000000"/>
                </a:solidFill>
                <a:latin typeface="Arial"/>
                <a:ea typeface="Arial"/>
                <a:cs typeface="Arial"/>
              </a:defRPr>
            </a:pPr>
            <a:endParaRPr lang="sk-SK"/>
          </a:p>
        </c:txPr>
        <c:crossAx val="106357888"/>
        <c:crosses val="autoZero"/>
        <c:auto val="1"/>
        <c:lblAlgn val="ctr"/>
        <c:lblOffset val="100"/>
      </c:catAx>
      <c:valAx>
        <c:axId val="106357888"/>
        <c:scaling>
          <c:orientation val="minMax"/>
        </c:scaling>
        <c:axPos val="l"/>
        <c:majorGridlines>
          <c:spPr>
            <a:ln>
              <a:solidFill>
                <a:schemeClr val="bg1">
                  <a:lumMod val="85000"/>
                </a:schemeClr>
              </a:solidFill>
            </a:ln>
          </c:spPr>
        </c:majorGridlines>
        <c:numFmt formatCode="General" sourceLinked="1"/>
        <c:tickLblPos val="nextTo"/>
        <c:txPr>
          <a:bodyPr rot="0" vert="horz"/>
          <a:lstStyle/>
          <a:p>
            <a:pPr>
              <a:defRPr lang="en-GB" sz="800" b="0" i="0" u="none" strike="noStrike" baseline="0">
                <a:solidFill>
                  <a:srgbClr val="000000"/>
                </a:solidFill>
                <a:latin typeface="Arial"/>
                <a:ea typeface="Arial"/>
                <a:cs typeface="Arial"/>
              </a:defRPr>
            </a:pPr>
            <a:endParaRPr lang="sk-SK"/>
          </a:p>
        </c:txPr>
        <c:crossAx val="106214912"/>
        <c:crosses val="autoZero"/>
        <c:crossBetween val="between"/>
        <c:majorUnit val="20"/>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sk-SK"/>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plotArea>
      <c:layout>
        <c:manualLayout>
          <c:layoutTarget val="inner"/>
          <c:xMode val="edge"/>
          <c:yMode val="edge"/>
          <c:x val="5.2003621075143898E-2"/>
          <c:y val="7.9479880856295426E-2"/>
          <c:w val="0.92547516067533808"/>
          <c:h val="0.7967132022607607"/>
        </c:manualLayout>
      </c:layout>
      <c:barChart>
        <c:barDir val="col"/>
        <c:grouping val="clustered"/>
        <c:ser>
          <c:idx val="0"/>
          <c:order val="0"/>
          <c:tx>
            <c:strRef>
              <c:f>[81201761se1g001.xlsx]Hospitalizácie!$A$29</c:f>
              <c:strCache>
                <c:ptCount val="1"/>
                <c:pt idx="0">
                  <c:v>Slovenská republika</c:v>
                </c:pt>
              </c:strCache>
            </c:strRef>
          </c:tx>
          <c:spPr>
            <a:solidFill>
              <a:schemeClr val="accent1">
                <a:lumMod val="50000"/>
              </a:schemeClr>
            </a:solidFill>
          </c:spPr>
          <c:cat>
            <c:strRef>
              <c:f>[81201761se1g001.xlsx]Hospitalizácie!$B$28:$E$28</c:f>
              <c:strCache>
                <c:ptCount val="4"/>
                <c:pt idx="0">
                  <c:v>Astma a CHOCHP</c:v>
                </c:pt>
                <c:pt idx="1">
                  <c:v>Cukrovka</c:v>
                </c:pt>
                <c:pt idx="2">
                  <c:v>Kongestívne zlyhanie srdca</c:v>
                </c:pt>
                <c:pt idx="3">
                  <c:v>Vysoký tlak</c:v>
                </c:pt>
              </c:strCache>
            </c:strRef>
          </c:cat>
          <c:val>
            <c:numLit>
              <c:formatCode>General</c:formatCode>
              <c:ptCount val="4"/>
              <c:pt idx="0">
                <c:v>303</c:v>
              </c:pt>
              <c:pt idx="1">
                <c:v>204</c:v>
              </c:pt>
              <c:pt idx="2">
                <c:v>417</c:v>
              </c:pt>
              <c:pt idx="3">
                <c:v>350</c:v>
              </c:pt>
            </c:numLit>
          </c:val>
        </c:ser>
        <c:ser>
          <c:idx val="1"/>
          <c:order val="1"/>
          <c:tx>
            <c:strRef>
              <c:f>[81201761se1g001.xlsx]Hospitalizácie!$A$30</c:f>
              <c:strCache>
                <c:ptCount val="1"/>
                <c:pt idx="0">
                  <c:v>EÚ</c:v>
                </c:pt>
              </c:strCache>
            </c:strRef>
          </c:tx>
          <c:spPr>
            <a:solidFill>
              <a:srgbClr val="C00000"/>
            </a:solidFill>
          </c:spPr>
          <c:cat>
            <c:strRef>
              <c:f>[81201761se1g001.xlsx]Hospitalizácie!$B$28:$E$28</c:f>
              <c:strCache>
                <c:ptCount val="4"/>
                <c:pt idx="0">
                  <c:v>Astma a CHOCHP</c:v>
                </c:pt>
                <c:pt idx="1">
                  <c:v>Cukrovka</c:v>
                </c:pt>
                <c:pt idx="2">
                  <c:v>Kongestívne zlyhanie srdca</c:v>
                </c:pt>
                <c:pt idx="3">
                  <c:v>Vysoký tlak</c:v>
                </c:pt>
              </c:strCache>
            </c:strRef>
          </c:cat>
          <c:val>
            <c:numLit>
              <c:formatCode>General</c:formatCode>
              <c:ptCount val="4"/>
              <c:pt idx="0">
                <c:v>237</c:v>
              </c:pt>
              <c:pt idx="1">
                <c:v>134</c:v>
              </c:pt>
              <c:pt idx="2">
                <c:v>202</c:v>
              </c:pt>
              <c:pt idx="3">
                <c:v>94</c:v>
              </c:pt>
            </c:numLit>
          </c:val>
        </c:ser>
        <c:gapWidth val="100"/>
        <c:overlap val="-10"/>
        <c:axId val="107257856"/>
        <c:axId val="107259392"/>
      </c:barChart>
      <c:catAx>
        <c:axId val="107257856"/>
        <c:scaling>
          <c:orientation val="minMax"/>
        </c:scaling>
        <c:axPos val="b"/>
        <c:numFmt formatCode="General" sourceLinked="1"/>
        <c:tickLblPos val="nextTo"/>
        <c:txPr>
          <a:bodyPr/>
          <a:lstStyle/>
          <a:p>
            <a:pPr>
              <a:defRPr lang="en-GB"/>
            </a:pPr>
            <a:endParaRPr lang="sk-SK"/>
          </a:p>
        </c:txPr>
        <c:crossAx val="107259392"/>
        <c:crosses val="autoZero"/>
        <c:auto val="1"/>
        <c:lblAlgn val="ctr"/>
        <c:lblOffset val="100"/>
      </c:catAx>
      <c:valAx>
        <c:axId val="107259392"/>
        <c:scaling>
          <c:orientation val="minMax"/>
        </c:scaling>
        <c:axPos val="l"/>
        <c:numFmt formatCode="General" sourceLinked="1"/>
        <c:tickLblPos val="nextTo"/>
        <c:txPr>
          <a:bodyPr/>
          <a:lstStyle/>
          <a:p>
            <a:pPr>
              <a:defRPr lang="en-GB"/>
            </a:pPr>
            <a:endParaRPr lang="sk-SK"/>
          </a:p>
        </c:txPr>
        <c:crossAx val="107257856"/>
        <c:crosses val="autoZero"/>
        <c:crossBetween val="between"/>
      </c:valAx>
    </c:plotArea>
    <c:legend>
      <c:legendPos val="t"/>
      <c:layout>
        <c:manualLayout>
          <c:xMode val="edge"/>
          <c:yMode val="edge"/>
          <c:x val="0.11637224166423669"/>
          <c:y val="2.3834927506035802E-2"/>
          <c:w val="0.54089513515379672"/>
          <c:h val="9.0580510176441545E-2"/>
        </c:manualLayout>
      </c:layout>
      <c:txPr>
        <a:bodyPr/>
        <a:lstStyle/>
        <a:p>
          <a:pPr>
            <a:defRPr lang="en-GB"/>
          </a:pPr>
          <a:endParaRPr lang="sk-SK"/>
        </a:p>
      </c:txPr>
    </c:legend>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sk-SK"/>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plotArea>
      <c:layout>
        <c:manualLayout>
          <c:layoutTarget val="inner"/>
          <c:xMode val="edge"/>
          <c:yMode val="edge"/>
          <c:x val="5.3289196029954286E-2"/>
          <c:y val="2.9150823827629912E-2"/>
          <c:w val="0.93888888888889166"/>
          <c:h val="0.86215296004665776"/>
        </c:manualLayout>
      </c:layout>
      <c:barChart>
        <c:barDir val="col"/>
        <c:grouping val="clustered"/>
        <c:ser>
          <c:idx val="0"/>
          <c:order val="0"/>
          <c:tx>
            <c:strRef>
              <c:f>'[81201761se1g001.xlsx]Ľudské zdroje'!$A$27</c:f>
              <c:strCache>
                <c:ptCount val="1"/>
                <c:pt idx="0">
                  <c:v>Bratislavský kraj</c:v>
                </c:pt>
              </c:strCache>
            </c:strRef>
          </c:tx>
          <c:spPr>
            <a:solidFill>
              <a:schemeClr val="accent1">
                <a:lumMod val="50000"/>
              </a:schemeClr>
            </a:solidFill>
          </c:spPr>
          <c:cat>
            <c:strRef>
              <c:f>'[81201761se1g001.xlsx]Ľudské zdroje'!$B$26:$C$26</c:f>
              <c:strCache>
                <c:ptCount val="2"/>
                <c:pt idx="0">
                  <c:v>Lekári </c:v>
                </c:pt>
                <c:pt idx="1">
                  <c:v>Zdravotné sestry a pôrodné asistentky</c:v>
                </c:pt>
              </c:strCache>
            </c:strRef>
          </c:cat>
          <c:val>
            <c:numLit>
              <c:formatCode>General</c:formatCode>
              <c:ptCount val="2"/>
              <c:pt idx="0">
                <c:v>6.7822000000000013</c:v>
              </c:pt>
              <c:pt idx="1">
                <c:v>10.328500000000002</c:v>
              </c:pt>
            </c:numLit>
          </c:val>
        </c:ser>
        <c:ser>
          <c:idx val="1"/>
          <c:order val="1"/>
          <c:tx>
            <c:strRef>
              <c:f>'[81201761se1g001.xlsx]Ľudské zdroje'!$A$28</c:f>
              <c:strCache>
                <c:ptCount val="1"/>
                <c:pt idx="0">
                  <c:v>Východné Slovensko</c:v>
                </c:pt>
              </c:strCache>
            </c:strRef>
          </c:tx>
          <c:spPr>
            <a:solidFill>
              <a:srgbClr val="C00000"/>
            </a:solidFill>
          </c:spPr>
          <c:cat>
            <c:strRef>
              <c:f>'[81201761se1g001.xlsx]Ľudské zdroje'!$B$26:$C$26</c:f>
              <c:strCache>
                <c:ptCount val="2"/>
                <c:pt idx="0">
                  <c:v>Lekári </c:v>
                </c:pt>
                <c:pt idx="1">
                  <c:v>Zdravotné sestry a pôrodné asistentky</c:v>
                </c:pt>
              </c:strCache>
            </c:strRef>
          </c:cat>
          <c:val>
            <c:numLit>
              <c:formatCode>General</c:formatCode>
              <c:ptCount val="2"/>
              <c:pt idx="0">
                <c:v>3.3394999999999868</c:v>
              </c:pt>
              <c:pt idx="1">
                <c:v>5.9847000000000001</c:v>
              </c:pt>
            </c:numLit>
          </c:val>
        </c:ser>
        <c:ser>
          <c:idx val="2"/>
          <c:order val="2"/>
          <c:tx>
            <c:strRef>
              <c:f>'[81201761se1g001.xlsx]Ľudské zdroje'!$A$29</c:f>
              <c:strCache>
                <c:ptCount val="1"/>
                <c:pt idx="0">
                  <c:v>Stredné Slovensko</c:v>
                </c:pt>
              </c:strCache>
            </c:strRef>
          </c:tx>
          <c:spPr>
            <a:solidFill>
              <a:srgbClr val="00B050"/>
            </a:solidFill>
          </c:spPr>
          <c:cat>
            <c:strRef>
              <c:f>'[81201761se1g001.xlsx]Ľudské zdroje'!$B$26:$C$26</c:f>
              <c:strCache>
                <c:ptCount val="2"/>
                <c:pt idx="0">
                  <c:v>Lekári </c:v>
                </c:pt>
                <c:pt idx="1">
                  <c:v>Zdravotné sestry a pôrodné asistentky</c:v>
                </c:pt>
              </c:strCache>
            </c:strRef>
          </c:cat>
          <c:val>
            <c:numLit>
              <c:formatCode>General</c:formatCode>
              <c:ptCount val="2"/>
              <c:pt idx="0">
                <c:v>3.0686</c:v>
              </c:pt>
              <c:pt idx="1">
                <c:v>5.7132000000000014</c:v>
              </c:pt>
            </c:numLit>
          </c:val>
        </c:ser>
        <c:ser>
          <c:idx val="3"/>
          <c:order val="3"/>
          <c:tx>
            <c:strRef>
              <c:f>'[81201761se1g001.xlsx]Ľudské zdroje'!$A$30</c:f>
              <c:strCache>
                <c:ptCount val="1"/>
                <c:pt idx="0">
                  <c:v>Západné Slovensko</c:v>
                </c:pt>
              </c:strCache>
            </c:strRef>
          </c:tx>
          <c:spPr>
            <a:solidFill>
              <a:srgbClr val="0070C0"/>
            </a:solidFill>
          </c:spPr>
          <c:cat>
            <c:strRef>
              <c:f>'[81201761se1g001.xlsx]Ľudské zdroje'!$B$26:$C$26</c:f>
              <c:strCache>
                <c:ptCount val="2"/>
                <c:pt idx="0">
                  <c:v>Lekári </c:v>
                </c:pt>
                <c:pt idx="1">
                  <c:v>Zdravotné sestry a pôrodné asistentky</c:v>
                </c:pt>
              </c:strCache>
            </c:strRef>
          </c:cat>
          <c:val>
            <c:numLit>
              <c:formatCode>General</c:formatCode>
              <c:ptCount val="2"/>
              <c:pt idx="0">
                <c:v>2.6326999999999967</c:v>
              </c:pt>
              <c:pt idx="1">
                <c:v>5.0023</c:v>
              </c:pt>
            </c:numLit>
          </c:val>
        </c:ser>
        <c:gapWidth val="100"/>
        <c:overlap val="-10"/>
        <c:axId val="71521024"/>
        <c:axId val="71522560"/>
      </c:barChart>
      <c:catAx>
        <c:axId val="71521024"/>
        <c:scaling>
          <c:orientation val="minMax"/>
        </c:scaling>
        <c:axPos val="b"/>
        <c:numFmt formatCode="General" sourceLinked="1"/>
        <c:tickLblPos val="nextTo"/>
        <c:txPr>
          <a:bodyPr/>
          <a:lstStyle/>
          <a:p>
            <a:pPr>
              <a:defRPr lang="en-GB"/>
            </a:pPr>
            <a:endParaRPr lang="sk-SK"/>
          </a:p>
        </c:txPr>
        <c:crossAx val="71522560"/>
        <c:crosses val="autoZero"/>
        <c:auto val="1"/>
        <c:lblAlgn val="ctr"/>
        <c:lblOffset val="100"/>
      </c:catAx>
      <c:valAx>
        <c:axId val="71522560"/>
        <c:scaling>
          <c:orientation val="minMax"/>
        </c:scaling>
        <c:axPos val="l"/>
        <c:numFmt formatCode="General" sourceLinked="1"/>
        <c:tickLblPos val="nextTo"/>
        <c:txPr>
          <a:bodyPr/>
          <a:lstStyle/>
          <a:p>
            <a:pPr>
              <a:defRPr lang="en-GB"/>
            </a:pPr>
            <a:endParaRPr lang="sk-SK"/>
          </a:p>
        </c:txPr>
        <c:crossAx val="71521024"/>
        <c:crosses val="autoZero"/>
        <c:crossBetween val="between"/>
      </c:valAx>
    </c:plotArea>
    <c:legend>
      <c:legendPos val="t"/>
      <c:layout>
        <c:manualLayout>
          <c:xMode val="edge"/>
          <c:yMode val="edge"/>
          <c:x val="7.8859444221217989E-2"/>
          <c:y val="2.2602679252249451E-3"/>
          <c:w val="0.9211406316146018"/>
          <c:h val="7.6861388948003123E-2"/>
        </c:manualLayout>
      </c:layout>
      <c:txPr>
        <a:bodyPr/>
        <a:lstStyle/>
        <a:p>
          <a:pPr>
            <a:defRPr lang="en-GB"/>
          </a:pPr>
          <a:endParaRPr lang="sk-SK"/>
        </a:p>
      </c:txPr>
    </c:legend>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sk-SK"/>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0.15775</cdr:x>
      <cdr:y>0.08139</cdr:y>
    </cdr:to>
    <cdr:sp macro="" textlink="">
      <cdr:nvSpPr>
        <cdr:cNvPr id="3" name="TextBox 2"/>
        <cdr:cNvSpPr txBox="1"/>
      </cdr:nvSpPr>
      <cdr:spPr>
        <a:xfrm xmlns:a="http://schemas.openxmlformats.org/drawingml/2006/main">
          <a:off x="0" y="0"/>
          <a:ext cx="1050608"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latin typeface="Arial"/>
              <a:cs typeface="Arial"/>
            </a:rPr>
            <a:t>PKS v EUR</a:t>
          </a:r>
        </a:p>
      </cdr:txBody>
    </cdr:sp>
  </cdr:relSizeAnchor>
  <cdr:relSizeAnchor xmlns:cdr="http://schemas.openxmlformats.org/drawingml/2006/chartDrawing">
    <cdr:from>
      <cdr:x>0.88771</cdr:x>
      <cdr:y>0</cdr:y>
    </cdr:from>
    <cdr:to>
      <cdr:x>1</cdr:x>
      <cdr:y>0.06595</cdr:y>
    </cdr:to>
    <cdr:sp macro="" textlink="">
      <cdr:nvSpPr>
        <cdr:cNvPr id="4" name="TextBox 1"/>
        <cdr:cNvSpPr txBox="1"/>
      </cdr:nvSpPr>
      <cdr:spPr>
        <a:xfrm xmlns:a="http://schemas.openxmlformats.org/drawingml/2006/main">
          <a:off x="5912168" y="0"/>
          <a:ext cx="747832" cy="23980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000">
              <a:latin typeface="Arial"/>
              <a:cs typeface="Arial"/>
            </a:rPr>
            <a:t>% HDP</a:t>
          </a:r>
        </a:p>
      </cdr:txBody>
    </cdr:sp>
  </cdr:relSizeAnchor>
</c:userShapes>
</file>

<file path=word/drawings/drawing2.xml><?xml version="1.0" encoding="utf-8"?>
<c:userShapes xmlns:c="http://schemas.openxmlformats.org/drawingml/2006/chart">
  <cdr:relSizeAnchor xmlns:cdr="http://schemas.openxmlformats.org/drawingml/2006/chartDrawing">
    <cdr:from>
      <cdr:x>0.38825</cdr:x>
      <cdr:y>0.82607</cdr:y>
    </cdr:from>
    <cdr:to>
      <cdr:x>0.49266</cdr:x>
      <cdr:y>0.87514</cdr:y>
    </cdr:to>
    <cdr:sp macro="" textlink="">
      <cdr:nvSpPr>
        <cdr:cNvPr id="2" name="TextBox 1"/>
        <cdr:cNvSpPr txBox="1"/>
      </cdr:nvSpPr>
      <cdr:spPr>
        <a:xfrm xmlns:a="http://schemas.openxmlformats.org/drawingml/2006/main">
          <a:off x="2266950" y="3465988"/>
          <a:ext cx="609600" cy="2059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800">
              <a:solidFill>
                <a:srgbClr val="C00000"/>
              </a:solidFill>
              <a:latin typeface="Arial"/>
              <a:cs typeface="Arial"/>
            </a:rPr>
            <a:t>EÚ: 3,6</a:t>
          </a:r>
        </a:p>
      </cdr:txBody>
    </cdr:sp>
  </cdr:relSizeAnchor>
  <cdr:relSizeAnchor xmlns:cdr="http://schemas.openxmlformats.org/drawingml/2006/chartDrawing">
    <cdr:from>
      <cdr:x>0.02121</cdr:x>
      <cdr:y>0.49239</cdr:y>
    </cdr:from>
    <cdr:to>
      <cdr:x>0.13268</cdr:x>
      <cdr:y>0.54143</cdr:y>
    </cdr:to>
    <cdr:sp macro="" textlink="">
      <cdr:nvSpPr>
        <cdr:cNvPr id="3" name="TextBox 1"/>
        <cdr:cNvSpPr txBox="1"/>
      </cdr:nvSpPr>
      <cdr:spPr>
        <a:xfrm xmlns:a="http://schemas.openxmlformats.org/drawingml/2006/main">
          <a:off x="123825" y="2065959"/>
          <a:ext cx="650875" cy="20575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a:solidFill>
                <a:srgbClr val="C00000"/>
              </a:solidFill>
              <a:latin typeface="Arial"/>
              <a:cs typeface="Arial"/>
            </a:rPr>
            <a:t>EÚ:</a:t>
          </a:r>
          <a:r>
            <a:rPr lang="en-GB" sz="800"/>
            <a:t> </a:t>
          </a:r>
          <a:r>
            <a:rPr lang="en-GB" sz="800">
              <a:solidFill>
                <a:srgbClr val="C00000"/>
              </a:solidFill>
              <a:latin typeface="Arial"/>
              <a:cs typeface="Arial"/>
            </a:rPr>
            <a:t>8,4</a:t>
          </a:r>
        </a:p>
      </cdr:txBody>
    </cdr:sp>
  </cdr:relSizeAnchor>
  <cdr:relSizeAnchor xmlns:cdr="http://schemas.openxmlformats.org/drawingml/2006/chartDrawing">
    <cdr:from>
      <cdr:x>0.05171</cdr:x>
      <cdr:y>0.07769</cdr:y>
    </cdr:from>
    <cdr:to>
      <cdr:x>0.27497</cdr:x>
      <cdr:y>0.23951</cdr:y>
    </cdr:to>
    <cdr:sp macro="" textlink="">
      <cdr:nvSpPr>
        <cdr:cNvPr id="4" name="TextBox 3"/>
        <cdr:cNvSpPr txBox="1"/>
      </cdr:nvSpPr>
      <cdr:spPr>
        <a:xfrm xmlns:a="http://schemas.openxmlformats.org/drawingml/2006/main">
          <a:off x="297915" y="320759"/>
          <a:ext cx="1286138" cy="668079"/>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vertOverflow="clip" wrap="none" rtlCol="0"/>
        <a:lstStyle xmlns:a="http://schemas.openxmlformats.org/drawingml/2006/main"/>
        <a:p xmlns:a="http://schemas.openxmlformats.org/drawingml/2006/main">
          <a:r>
            <a:rPr lang="en-GB" sz="1000" dirty="0" err="1">
              <a:solidFill>
                <a:schemeClr val="bg1"/>
              </a:solidFill>
              <a:latin typeface="Arial"/>
              <a:cs typeface="Arial"/>
            </a:rPr>
            <a:t>Nízky</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lekárov</a:t>
          </a:r>
          <a:endParaRPr lang="en-GB" sz="1000" dirty="0">
            <a:solidFill>
              <a:schemeClr val="bg1"/>
            </a:solidFill>
            <a:latin typeface="Arial"/>
            <a:cs typeface="Arial"/>
          </a:endParaRPr>
        </a:p>
        <a:p xmlns:a="http://schemas.openxmlformats.org/drawingml/2006/main">
          <a:r>
            <a:rPr lang="en-GB" sz="1000" dirty="0" err="1">
              <a:solidFill>
                <a:schemeClr val="bg1"/>
              </a:solidFill>
              <a:latin typeface="Arial"/>
              <a:cs typeface="Arial"/>
            </a:rPr>
            <a:t>Vysoký</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sestier</a:t>
          </a:r>
          <a:endParaRPr lang="en-GB" sz="1000" dirty="0">
            <a:solidFill>
              <a:schemeClr val="bg1"/>
            </a:solidFill>
            <a:latin typeface="Arial"/>
            <a:cs typeface="Arial"/>
          </a:endParaRPr>
        </a:p>
      </cdr:txBody>
    </cdr:sp>
  </cdr:relSizeAnchor>
  <cdr:relSizeAnchor xmlns:cdr="http://schemas.openxmlformats.org/drawingml/2006/chartDrawing">
    <cdr:from>
      <cdr:x>0.66136</cdr:x>
      <cdr:y>0.07776</cdr:y>
    </cdr:from>
    <cdr:to>
      <cdr:x>0.89063</cdr:x>
      <cdr:y>0.24419</cdr:y>
    </cdr:to>
    <cdr:sp macro="" textlink="">
      <cdr:nvSpPr>
        <cdr:cNvPr id="5" name="TextBox 1"/>
        <cdr:cNvSpPr txBox="1"/>
      </cdr:nvSpPr>
      <cdr:spPr>
        <a:xfrm xmlns:a="http://schemas.openxmlformats.org/drawingml/2006/main">
          <a:off x="3809938" y="321035"/>
          <a:ext cx="1320760" cy="687112"/>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dirty="0" err="1">
              <a:solidFill>
                <a:schemeClr val="bg1"/>
              </a:solidFill>
              <a:latin typeface="Arial"/>
              <a:cs typeface="Arial"/>
            </a:rPr>
            <a:t>Vysoký</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lekárov</a:t>
          </a:r>
          <a:endParaRPr lang="en-GB" sz="1000" dirty="0">
            <a:solidFill>
              <a:schemeClr val="bg1"/>
            </a:solidFill>
            <a:latin typeface="Arial"/>
            <a:cs typeface="Arial"/>
          </a:endParaRPr>
        </a:p>
        <a:p xmlns:a="http://schemas.openxmlformats.org/drawingml/2006/main">
          <a:r>
            <a:rPr lang="en-GB" sz="1000" dirty="0" err="1">
              <a:solidFill>
                <a:schemeClr val="bg1"/>
              </a:solidFill>
              <a:latin typeface="Arial"/>
              <a:cs typeface="Arial"/>
            </a:rPr>
            <a:t>Vysoký</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sestier</a:t>
          </a:r>
          <a:endParaRPr lang="en-GB" sz="1000" dirty="0">
            <a:solidFill>
              <a:schemeClr val="bg1"/>
            </a:solidFill>
            <a:latin typeface="Arial"/>
            <a:cs typeface="Arial"/>
          </a:endParaRPr>
        </a:p>
      </cdr:txBody>
    </cdr:sp>
  </cdr:relSizeAnchor>
  <cdr:relSizeAnchor xmlns:cdr="http://schemas.openxmlformats.org/drawingml/2006/chartDrawing">
    <cdr:from>
      <cdr:x>0.66587</cdr:x>
      <cdr:y>0.72813</cdr:y>
    </cdr:from>
    <cdr:to>
      <cdr:x>0.89243</cdr:x>
      <cdr:y>0.87487</cdr:y>
    </cdr:to>
    <cdr:sp macro="" textlink="">
      <cdr:nvSpPr>
        <cdr:cNvPr id="6" name="TextBox 1"/>
        <cdr:cNvSpPr txBox="1"/>
      </cdr:nvSpPr>
      <cdr:spPr>
        <a:xfrm xmlns:a="http://schemas.openxmlformats.org/drawingml/2006/main">
          <a:off x="3835908" y="3006112"/>
          <a:ext cx="1305149" cy="605822"/>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dirty="0" err="1">
              <a:solidFill>
                <a:schemeClr val="bg1"/>
              </a:solidFill>
              <a:latin typeface="Arial"/>
              <a:cs typeface="Arial"/>
            </a:rPr>
            <a:t>Vysoký</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lekárov</a:t>
          </a:r>
          <a:endParaRPr lang="en-GB" sz="1000" dirty="0">
            <a:solidFill>
              <a:schemeClr val="bg1"/>
            </a:solidFill>
            <a:latin typeface="Arial"/>
            <a:cs typeface="Arial"/>
          </a:endParaRPr>
        </a:p>
        <a:p xmlns:a="http://schemas.openxmlformats.org/drawingml/2006/main">
          <a:r>
            <a:rPr lang="en-GB" sz="1000" dirty="0" err="1">
              <a:solidFill>
                <a:schemeClr val="bg1"/>
              </a:solidFill>
              <a:latin typeface="Arial"/>
              <a:cs typeface="Arial"/>
            </a:rPr>
            <a:t>Nízky</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sestier</a:t>
          </a:r>
          <a:endParaRPr lang="en-GB" sz="1000" dirty="0">
            <a:solidFill>
              <a:schemeClr val="bg1"/>
            </a:solidFill>
            <a:latin typeface="Arial"/>
            <a:cs typeface="Arial"/>
          </a:endParaRPr>
        </a:p>
      </cdr:txBody>
    </cdr:sp>
  </cdr:relSizeAnchor>
  <cdr:relSizeAnchor xmlns:cdr="http://schemas.openxmlformats.org/drawingml/2006/chartDrawing">
    <cdr:from>
      <cdr:x>0.05238</cdr:x>
      <cdr:y>0.73108</cdr:y>
    </cdr:from>
    <cdr:to>
      <cdr:x>0.27738</cdr:x>
      <cdr:y>0.875</cdr:y>
    </cdr:to>
    <cdr:sp macro="" textlink="">
      <cdr:nvSpPr>
        <cdr:cNvPr id="7" name="TextBox 1"/>
        <cdr:cNvSpPr txBox="1"/>
      </cdr:nvSpPr>
      <cdr:spPr>
        <a:xfrm xmlns:a="http://schemas.openxmlformats.org/drawingml/2006/main">
          <a:off x="301733" y="3018304"/>
          <a:ext cx="1296162" cy="594179"/>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dirty="0" err="1">
              <a:solidFill>
                <a:schemeClr val="bg1"/>
              </a:solidFill>
              <a:latin typeface="Arial"/>
              <a:cs typeface="Arial"/>
            </a:rPr>
            <a:t>Nízky</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lekárov</a:t>
          </a:r>
          <a:endParaRPr lang="en-GB" sz="1000" dirty="0">
            <a:solidFill>
              <a:schemeClr val="bg1"/>
            </a:solidFill>
            <a:latin typeface="Arial"/>
            <a:cs typeface="Arial"/>
          </a:endParaRPr>
        </a:p>
        <a:p xmlns:a="http://schemas.openxmlformats.org/drawingml/2006/main">
          <a:r>
            <a:rPr lang="en-GB" sz="1000" dirty="0" err="1">
              <a:solidFill>
                <a:schemeClr val="bg1"/>
              </a:solidFill>
              <a:latin typeface="Arial"/>
              <a:cs typeface="Arial"/>
            </a:rPr>
            <a:t>Nízky</a:t>
          </a:r>
          <a:r>
            <a:rPr lang="en-GB" sz="1000" dirty="0">
              <a:solidFill>
                <a:schemeClr val="bg1"/>
              </a:solidFill>
              <a:latin typeface="Arial"/>
              <a:cs typeface="Arial"/>
            </a:rPr>
            <a:t> </a:t>
          </a:r>
          <a:r>
            <a:rPr lang="en-GB" sz="1000" dirty="0" err="1">
              <a:solidFill>
                <a:schemeClr val="bg1"/>
              </a:solidFill>
              <a:latin typeface="Arial"/>
              <a:cs typeface="Arial"/>
            </a:rPr>
            <a:t>počet</a:t>
          </a:r>
          <a:r>
            <a:rPr lang="en-GB" sz="1000" dirty="0">
              <a:solidFill>
                <a:schemeClr val="bg1"/>
              </a:solidFill>
              <a:latin typeface="Arial"/>
              <a:cs typeface="Arial"/>
            </a:rPr>
            <a:t> </a:t>
          </a:r>
          <a:r>
            <a:rPr lang="en-GB" sz="1000" dirty="0" err="1">
              <a:solidFill>
                <a:schemeClr val="bg1"/>
              </a:solidFill>
              <a:latin typeface="Arial"/>
              <a:cs typeface="Arial"/>
            </a:rPr>
            <a:t>sestier</a:t>
          </a:r>
          <a:endParaRPr lang="en-GB" sz="1000" dirty="0">
            <a:solidFill>
              <a:schemeClr val="bg1"/>
            </a:solidFill>
            <a:latin typeface="Arial"/>
            <a:cs typeface="Arial"/>
          </a:endParaRPr>
        </a:p>
      </cdr:txBody>
    </cdr:sp>
  </cdr:relSizeAnchor>
  <cdr:relSizeAnchor xmlns:cdr="http://schemas.openxmlformats.org/drawingml/2006/chartDrawing">
    <cdr:from>
      <cdr:x>1.73589E-7</cdr:x>
      <cdr:y>0</cdr:y>
    </cdr:from>
    <cdr:to>
      <cdr:x>0.59365</cdr:x>
      <cdr:y>0.05906</cdr:y>
    </cdr:to>
    <cdr:sp macro="" textlink="">
      <cdr:nvSpPr>
        <cdr:cNvPr id="8" name="TextBox 7"/>
        <cdr:cNvSpPr txBox="1"/>
      </cdr:nvSpPr>
      <cdr:spPr>
        <a:xfrm xmlns:a="http://schemas.openxmlformats.org/drawingml/2006/main">
          <a:off x="1" y="0"/>
          <a:ext cx="3419856" cy="2438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dirty="0" err="1">
              <a:latin typeface="Arial"/>
              <a:cs typeface="Arial"/>
            </a:rPr>
            <a:t>Počet</a:t>
          </a:r>
          <a:r>
            <a:rPr lang="en-GB" sz="900" dirty="0">
              <a:latin typeface="Arial"/>
              <a:cs typeface="Arial"/>
            </a:rPr>
            <a:t> </a:t>
          </a:r>
          <a:r>
            <a:rPr lang="en-GB" sz="900" dirty="0" err="1">
              <a:latin typeface="Arial"/>
              <a:cs typeface="Arial"/>
            </a:rPr>
            <a:t>zdravotných</a:t>
          </a:r>
          <a:r>
            <a:rPr lang="en-GB" sz="900" dirty="0">
              <a:latin typeface="Arial"/>
              <a:cs typeface="Arial"/>
            </a:rPr>
            <a:t> </a:t>
          </a:r>
          <a:r>
            <a:rPr lang="en-GB" sz="900" dirty="0" err="1">
              <a:latin typeface="Arial"/>
              <a:cs typeface="Arial"/>
            </a:rPr>
            <a:t>sestier</a:t>
          </a:r>
          <a:r>
            <a:rPr lang="en-GB" sz="900" dirty="0">
              <a:latin typeface="Arial"/>
              <a:cs typeface="Arial"/>
            </a:rPr>
            <a:t> </a:t>
          </a:r>
          <a:r>
            <a:rPr lang="en-GB" sz="900" dirty="0" err="1">
              <a:latin typeface="Arial"/>
              <a:cs typeface="Arial"/>
            </a:rPr>
            <a:t>vykonávajúcich</a:t>
          </a:r>
          <a:r>
            <a:rPr lang="en-GB" sz="900" dirty="0">
              <a:latin typeface="Arial"/>
              <a:cs typeface="Arial"/>
            </a:rPr>
            <a:t> </a:t>
          </a:r>
          <a:r>
            <a:rPr lang="en-GB" sz="900" dirty="0" err="1">
              <a:latin typeface="Arial"/>
              <a:cs typeface="Arial"/>
            </a:rPr>
            <a:t>svoje</a:t>
          </a:r>
          <a:r>
            <a:rPr lang="en-GB" sz="900" dirty="0">
              <a:latin typeface="Arial"/>
              <a:cs typeface="Arial"/>
            </a:rPr>
            <a:t> </a:t>
          </a:r>
          <a:r>
            <a:rPr lang="en-GB" sz="900" dirty="0" err="1">
              <a:latin typeface="Arial"/>
              <a:cs typeface="Arial"/>
            </a:rPr>
            <a:t>povolanie</a:t>
          </a:r>
          <a:r>
            <a:rPr lang="en-GB" sz="900" dirty="0">
              <a:latin typeface="Arial"/>
              <a:cs typeface="Arial"/>
            </a:rPr>
            <a:t> </a:t>
          </a:r>
          <a:r>
            <a:rPr lang="en-GB" sz="900" dirty="0" err="1">
              <a:latin typeface="Arial"/>
              <a:cs typeface="Arial"/>
            </a:rPr>
            <a:t>na</a:t>
          </a:r>
          <a:r>
            <a:rPr lang="en-GB" sz="900" dirty="0">
              <a:latin typeface="Arial"/>
              <a:cs typeface="Arial"/>
            </a:rPr>
            <a:t> 1 000 </a:t>
          </a:r>
          <a:r>
            <a:rPr lang="en-GB" sz="900" dirty="0" err="1">
              <a:latin typeface="Arial"/>
              <a:cs typeface="Arial"/>
            </a:rPr>
            <a:t>obyvateľov</a:t>
          </a:r>
          <a:r>
            <a:rPr lang="en-GB" sz="900" dirty="0">
              <a:latin typeface="Arial"/>
              <a:cs typeface="Arial"/>
            </a:rPr>
            <a:t>, </a:t>
          </a:r>
          <a:r>
            <a:rPr lang="en-GB" sz="900" dirty="0" smtClean="0">
              <a:latin typeface="Arial"/>
              <a:cs typeface="Arial"/>
            </a:rPr>
            <a:t>2015</a:t>
          </a:r>
          <a:endParaRPr lang="en-GB" sz="900" dirty="0"/>
        </a:p>
      </cdr:txBody>
    </cdr:sp>
  </cdr:relSizeAnchor>
</c:userShapes>
</file>

<file path=word/drawings/drawing3.xml><?xml version="1.0" encoding="utf-8"?>
<c:userShapes xmlns:c="http://schemas.openxmlformats.org/drawingml/2006/chart">
  <cdr:relSizeAnchor xmlns:cdr="http://schemas.openxmlformats.org/drawingml/2006/chartDrawing">
    <cdr:from>
      <cdr:x>0.00175</cdr:x>
      <cdr:y>0.00544</cdr:y>
    </cdr:from>
    <cdr:to>
      <cdr:x>0.04545</cdr:x>
      <cdr:y>0.07609</cdr:y>
    </cdr:to>
    <cdr:sp macro="" textlink="">
      <cdr:nvSpPr>
        <cdr:cNvPr id="3" name="TextBox 1"/>
        <cdr:cNvSpPr txBox="1"/>
      </cdr:nvSpPr>
      <cdr:spPr>
        <a:xfrm xmlns:a="http://schemas.openxmlformats.org/drawingml/2006/main">
          <a:off x="9525" y="19060"/>
          <a:ext cx="238125" cy="2476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latin typeface="Arial"/>
              <a:cs typeface="Arial"/>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0.08549</cdr:x>
      <cdr:y>0.12162</cdr:y>
    </cdr:from>
    <cdr:to>
      <cdr:x>0.3871</cdr:x>
      <cdr:y>0.19933</cdr:y>
    </cdr:to>
    <cdr:sp macro="" textlink="">
      <cdr:nvSpPr>
        <cdr:cNvPr id="2" name="TextBox 1"/>
        <cdr:cNvSpPr txBox="1"/>
      </cdr:nvSpPr>
      <cdr:spPr>
        <a:xfrm xmlns:a="http://schemas.openxmlformats.org/drawingml/2006/main">
          <a:off x="504846" y="342909"/>
          <a:ext cx="1781158" cy="2190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a:t>na 1 000 obyvateľov</a:t>
          </a:r>
          <a:endParaRPr lang="en-GB" sz="1400"/>
        </a:p>
      </cdr:txBody>
    </cdr:sp>
  </cdr:relSizeAnchor>
</c:userShape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99F3-A99A-48F3-A304-D0CFC77B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6070</Words>
  <Characters>34601</Characters>
  <Application>Microsoft Office Word</Application>
  <DocSecurity>8</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40590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9</cp:revision>
  <cp:lastPrinted>2018-11-20T05:29:00Z</cp:lastPrinted>
  <dcterms:created xsi:type="dcterms:W3CDTF">2019-09-29T09:11:00Z</dcterms:created>
  <dcterms:modified xsi:type="dcterms:W3CDTF">2019-09-29T15:11:00Z</dcterms:modified>
</cp:coreProperties>
</file>