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E1" w:rsidRPr="00276084" w:rsidRDefault="00593FE1" w:rsidP="00593FE1">
      <w:pPr>
        <w:ind w:left="0" w:right="0"/>
        <w:contextualSpacing/>
        <w:jc w:val="center"/>
        <w:rPr>
          <w:sz w:val="32"/>
          <w:szCs w:val="32"/>
        </w:rPr>
      </w:pPr>
    </w:p>
    <w:p w:rsidR="000756DB" w:rsidRDefault="000756DB" w:rsidP="000756DB">
      <w:pPr>
        <w:ind w:left="0"/>
        <w:contextualSpacing/>
        <w:jc w:val="center"/>
        <w:rPr>
          <w:rFonts w:asciiTheme="majorHAnsi" w:hAnsiTheme="majorHAnsi"/>
          <w:sz w:val="32"/>
          <w:szCs w:val="32"/>
        </w:rPr>
      </w:pPr>
    </w:p>
    <w:p w:rsidR="000756DB" w:rsidRDefault="000756DB" w:rsidP="000756DB">
      <w:pPr>
        <w:ind w:left="0"/>
        <w:contextualSpacing/>
        <w:jc w:val="center"/>
        <w:rPr>
          <w:rFonts w:asciiTheme="majorHAnsi" w:hAnsiTheme="majorHAnsi"/>
          <w:sz w:val="32"/>
          <w:szCs w:val="32"/>
        </w:rPr>
      </w:pPr>
    </w:p>
    <w:p w:rsidR="000756DB" w:rsidRDefault="000756DB" w:rsidP="000756DB">
      <w:pPr>
        <w:ind w:left="0"/>
        <w:contextualSpacing/>
        <w:jc w:val="center"/>
        <w:rPr>
          <w:rFonts w:asciiTheme="majorHAnsi" w:hAnsiTheme="majorHAnsi"/>
          <w:sz w:val="32"/>
          <w:szCs w:val="32"/>
        </w:rPr>
      </w:pPr>
    </w:p>
    <w:p w:rsidR="000756DB" w:rsidRDefault="000756DB" w:rsidP="000756DB">
      <w:pPr>
        <w:ind w:left="0"/>
        <w:contextualSpacing/>
        <w:rPr>
          <w:rFonts w:asciiTheme="majorHAnsi" w:hAnsiTheme="majorHAnsi"/>
          <w:sz w:val="32"/>
          <w:szCs w:val="32"/>
        </w:rPr>
      </w:pPr>
    </w:p>
    <w:p w:rsidR="000756DB" w:rsidRDefault="000756DB" w:rsidP="000756DB">
      <w:pPr>
        <w:ind w:left="0"/>
        <w:contextualSpacing/>
        <w:rPr>
          <w:rFonts w:asciiTheme="majorHAnsi" w:hAnsiTheme="majorHAnsi"/>
          <w:sz w:val="32"/>
          <w:szCs w:val="32"/>
        </w:rPr>
      </w:pPr>
    </w:p>
    <w:p w:rsidR="000756DB" w:rsidRPr="000756DB" w:rsidRDefault="000756DB" w:rsidP="000756DB">
      <w:pPr>
        <w:ind w:left="0"/>
        <w:contextualSpacing/>
        <w:jc w:val="center"/>
        <w:rPr>
          <w:rFonts w:asciiTheme="majorHAnsi" w:hAnsiTheme="majorHAnsi"/>
          <w:sz w:val="32"/>
          <w:szCs w:val="32"/>
        </w:rPr>
      </w:pPr>
      <w:r w:rsidRPr="000756DB">
        <w:rPr>
          <w:rFonts w:asciiTheme="majorHAnsi" w:hAnsiTheme="majorHAnsi"/>
          <w:sz w:val="32"/>
          <w:szCs w:val="32"/>
        </w:rPr>
        <w:t>II. riadny snem ZVLD SR o.z. Nižná, 03.05.2018</w:t>
      </w:r>
    </w:p>
    <w:p w:rsidR="000756DB" w:rsidRDefault="000756DB" w:rsidP="000756DB">
      <w:pPr>
        <w:ind w:left="0"/>
        <w:contextualSpacing/>
        <w:jc w:val="center"/>
        <w:rPr>
          <w:rFonts w:asciiTheme="majorHAnsi" w:hAnsiTheme="majorHAnsi"/>
          <w:sz w:val="24"/>
          <w:szCs w:val="24"/>
        </w:rPr>
      </w:pPr>
    </w:p>
    <w:p w:rsidR="000756DB" w:rsidRDefault="000756DB" w:rsidP="000756DB">
      <w:pPr>
        <w:ind w:left="0"/>
        <w:contextualSpacing/>
        <w:jc w:val="center"/>
        <w:rPr>
          <w:rFonts w:asciiTheme="majorHAnsi" w:hAnsiTheme="majorHAnsi"/>
          <w:sz w:val="24"/>
          <w:szCs w:val="24"/>
        </w:rPr>
      </w:pPr>
    </w:p>
    <w:p w:rsidR="000756DB" w:rsidRDefault="000756DB" w:rsidP="000756DB">
      <w:pPr>
        <w:ind w:left="0"/>
        <w:contextualSpacing/>
        <w:jc w:val="center"/>
        <w:rPr>
          <w:rFonts w:asciiTheme="majorHAnsi" w:hAnsiTheme="majorHAnsi"/>
          <w:sz w:val="24"/>
          <w:szCs w:val="24"/>
        </w:rPr>
      </w:pPr>
    </w:p>
    <w:p w:rsidR="000756DB" w:rsidRDefault="000756DB" w:rsidP="000756DB">
      <w:pPr>
        <w:ind w:left="0"/>
        <w:contextualSpacing/>
        <w:jc w:val="center"/>
        <w:rPr>
          <w:rFonts w:asciiTheme="majorHAnsi" w:hAnsiTheme="majorHAnsi"/>
          <w:sz w:val="24"/>
          <w:szCs w:val="24"/>
        </w:rPr>
      </w:pPr>
    </w:p>
    <w:p w:rsidR="000756DB" w:rsidRPr="000756DB" w:rsidRDefault="000756DB" w:rsidP="000756DB">
      <w:pPr>
        <w:ind w:left="0"/>
        <w:contextualSpacing/>
        <w:jc w:val="center"/>
        <w:rPr>
          <w:rFonts w:asciiTheme="majorHAnsi" w:hAnsiTheme="majorHAnsi"/>
          <w:sz w:val="24"/>
          <w:szCs w:val="24"/>
        </w:rPr>
      </w:pPr>
    </w:p>
    <w:p w:rsidR="000756DB" w:rsidRPr="000756DB" w:rsidRDefault="000756DB" w:rsidP="000756DB">
      <w:pPr>
        <w:ind w:left="0"/>
        <w:contextualSpacing/>
        <w:jc w:val="center"/>
        <w:rPr>
          <w:rFonts w:asciiTheme="majorHAnsi" w:hAnsiTheme="majorHAnsi"/>
          <w:b/>
          <w:sz w:val="24"/>
          <w:szCs w:val="24"/>
        </w:rPr>
      </w:pPr>
      <w:r w:rsidRPr="000756DB">
        <w:rPr>
          <w:rFonts w:asciiTheme="majorHAnsi" w:hAnsiTheme="majorHAnsi"/>
          <w:b/>
          <w:sz w:val="24"/>
          <w:szCs w:val="24"/>
        </w:rPr>
        <w:t>STRATEGICKÝ RÁMEC VYJEDNÁVANIA so ZDRAVOTNÝMI POISŤOVŇAMI</w:t>
      </w:r>
    </w:p>
    <w:p w:rsidR="000756DB" w:rsidRPr="000756DB" w:rsidRDefault="000756DB" w:rsidP="000756DB">
      <w:pPr>
        <w:ind w:left="0"/>
        <w:contextualSpacing/>
        <w:jc w:val="center"/>
        <w:rPr>
          <w:rFonts w:asciiTheme="majorHAnsi" w:hAnsiTheme="majorHAnsi"/>
        </w:rPr>
      </w:pPr>
      <w:r w:rsidRPr="000756DB">
        <w:rPr>
          <w:rFonts w:asciiTheme="majorHAnsi" w:hAnsiTheme="majorHAnsi"/>
        </w:rPr>
        <w:t>o podmienkach financovania všeobecnej ambulantnej starostlivosti z verejných zdrojov</w:t>
      </w:r>
    </w:p>
    <w:p w:rsidR="000756DB" w:rsidRPr="000756DB" w:rsidRDefault="000756DB" w:rsidP="000756DB">
      <w:pPr>
        <w:ind w:left="0"/>
        <w:contextualSpacing/>
        <w:jc w:val="center"/>
        <w:rPr>
          <w:rFonts w:asciiTheme="majorHAnsi" w:hAnsiTheme="majorHAnsi"/>
        </w:rPr>
      </w:pPr>
    </w:p>
    <w:p w:rsidR="000756DB" w:rsidRDefault="000756DB" w:rsidP="000756DB">
      <w:pPr>
        <w:ind w:left="0"/>
        <w:contextualSpacing/>
        <w:jc w:val="center"/>
        <w:rPr>
          <w:rFonts w:asciiTheme="majorHAnsi" w:hAnsiTheme="majorHAnsi"/>
        </w:rPr>
      </w:pPr>
    </w:p>
    <w:p w:rsidR="000756DB" w:rsidRDefault="000756DB" w:rsidP="000756DB">
      <w:pPr>
        <w:ind w:left="0"/>
        <w:contextualSpacing/>
        <w:jc w:val="center"/>
        <w:rPr>
          <w:rFonts w:asciiTheme="majorHAnsi" w:hAnsiTheme="majorHAnsi"/>
        </w:rPr>
      </w:pPr>
    </w:p>
    <w:p w:rsidR="00C6599D" w:rsidRDefault="00C6599D" w:rsidP="000756DB">
      <w:pPr>
        <w:ind w:left="0"/>
        <w:contextualSpacing/>
        <w:jc w:val="center"/>
        <w:rPr>
          <w:rFonts w:asciiTheme="majorHAnsi" w:hAnsiTheme="majorHAnsi"/>
        </w:rPr>
      </w:pPr>
    </w:p>
    <w:p w:rsidR="000756DB" w:rsidRPr="000756DB" w:rsidRDefault="000756DB" w:rsidP="000756DB">
      <w:pPr>
        <w:ind w:left="0"/>
        <w:contextualSpacing/>
        <w:jc w:val="center"/>
        <w:rPr>
          <w:rFonts w:asciiTheme="majorHAnsi" w:hAnsiTheme="majorHAnsi"/>
        </w:rPr>
      </w:pPr>
    </w:p>
    <w:p w:rsidR="000756DB" w:rsidRPr="000756DB" w:rsidRDefault="000756DB" w:rsidP="000756DB">
      <w:pPr>
        <w:ind w:left="0"/>
        <w:contextualSpacing/>
        <w:jc w:val="center"/>
        <w:rPr>
          <w:rFonts w:asciiTheme="majorHAnsi" w:hAnsiTheme="majorHAnsi"/>
          <w:b/>
        </w:rPr>
      </w:pPr>
      <w:r w:rsidRPr="000756DB">
        <w:rPr>
          <w:rFonts w:asciiTheme="majorHAnsi" w:hAnsiTheme="majorHAnsi"/>
          <w:b/>
        </w:rPr>
        <w:t>I. PREAMBULA</w:t>
      </w:r>
    </w:p>
    <w:p w:rsidR="000756DB" w:rsidRPr="000756DB" w:rsidRDefault="000756DB" w:rsidP="000756DB">
      <w:pPr>
        <w:ind w:left="0"/>
        <w:contextualSpacing/>
        <w:jc w:val="center"/>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1.1. ZVLD SR o.z.</w:t>
      </w:r>
      <w:r w:rsidRPr="000756DB">
        <w:rPr>
          <w:rFonts w:asciiTheme="majorHAnsi" w:hAnsiTheme="majorHAnsi"/>
        </w:rPr>
        <w:t xml:space="preserve"> je občianskou – mimovládnou názorovou platformou všeobecných lekárov pre dospelých, ktorí osobne poskytujú zdravotnú starostlivosť dospelým pacientom v prvom kontakte.  </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1.2. Zmyslom</w:t>
      </w:r>
      <w:r w:rsidRPr="000756DB">
        <w:rPr>
          <w:rFonts w:asciiTheme="majorHAnsi" w:hAnsiTheme="majorHAnsi"/>
        </w:rPr>
        <w:t xml:space="preserve"> </w:t>
      </w:r>
      <w:r w:rsidRPr="000756DB">
        <w:rPr>
          <w:rFonts w:asciiTheme="majorHAnsi" w:hAnsiTheme="majorHAnsi"/>
          <w:b/>
        </w:rPr>
        <w:t>tohto dokumentu je prehľadné a stručné stanovenie cieľov ZVLD SR o.z.,</w:t>
      </w:r>
      <w:r w:rsidRPr="000756DB">
        <w:rPr>
          <w:rFonts w:asciiTheme="majorHAnsi" w:hAnsiTheme="majorHAnsi"/>
        </w:rPr>
        <w:t xml:space="preserve"> týkajúcich sa financovania ambulancie všeobecného lekára pre dospelých, a to z hľadiska:</w:t>
      </w:r>
    </w:p>
    <w:p w:rsidR="000756DB" w:rsidRPr="000756DB" w:rsidRDefault="000756DB" w:rsidP="000756DB">
      <w:pPr>
        <w:ind w:left="0"/>
        <w:contextualSpacing/>
        <w:rPr>
          <w:rFonts w:asciiTheme="majorHAnsi" w:hAnsiTheme="majorHAnsi"/>
        </w:rPr>
      </w:pPr>
      <w:r w:rsidRPr="000756DB">
        <w:rPr>
          <w:rFonts w:asciiTheme="majorHAnsi" w:hAnsiTheme="majorHAnsi"/>
        </w:rPr>
        <w:t>1.2.1. celkových príjmov poskytovateľa všeobecnej ambulantnej starostlivosti zo zdravotných poisťovní</w:t>
      </w:r>
    </w:p>
    <w:p w:rsidR="000756DB" w:rsidRPr="000756DB" w:rsidRDefault="000756DB" w:rsidP="000756DB">
      <w:pPr>
        <w:ind w:left="0"/>
        <w:contextualSpacing/>
        <w:rPr>
          <w:rFonts w:asciiTheme="majorHAnsi" w:hAnsiTheme="majorHAnsi"/>
        </w:rPr>
      </w:pPr>
      <w:r w:rsidRPr="000756DB">
        <w:rPr>
          <w:rFonts w:asciiTheme="majorHAnsi" w:hAnsiTheme="majorHAnsi"/>
        </w:rPr>
        <w:t>1.2.2. vnútorného platobného mechanizmu financovania, teda spôsobu a účelu financovania</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 xml:space="preserve">1.3. Zmyslom tohto dokumentu je </w:t>
      </w:r>
      <w:r w:rsidRPr="000756DB">
        <w:rPr>
          <w:rFonts w:asciiTheme="majorHAnsi" w:hAnsiTheme="majorHAnsi"/>
        </w:rPr>
        <w:t>praktická realizácia záverov vyvodených z verejne prístupných publikácií o verejnom zdravotníctve a organizácii verejnej zdravotnej starostlivosti, ako aj z údajov orgánov verejnej správy, najmä ústrednej štátnej správy a Štatistického úradu SR. Zmyslom tohto dokumentu nie je teoretická a/alebo akademická diskusia o dôvodoch prípadných názorových rozdielov, týkajúcich sa spôsobu financovania zdravotnej starostlivosti o dospelých prvého kontaktu medzi ZVLD SR o.z. a zdravotnými poisťovňami, prípadne medzi ZVLD SR o.z. a inými organizáciami a inštitúciami.</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1.4.</w:t>
      </w:r>
      <w:r w:rsidRPr="000756DB">
        <w:rPr>
          <w:rFonts w:asciiTheme="majorHAnsi" w:hAnsiTheme="majorHAnsi"/>
        </w:rPr>
        <w:t xml:space="preserve"> </w:t>
      </w:r>
      <w:r w:rsidRPr="000756DB">
        <w:rPr>
          <w:rFonts w:asciiTheme="majorHAnsi" w:hAnsiTheme="majorHAnsi"/>
          <w:b/>
        </w:rPr>
        <w:t>Tento dokument je určený predovšetkým pre členov ZVLD SR o.z. a všeobecných lekárov</w:t>
      </w:r>
      <w:r w:rsidRPr="000756DB">
        <w:rPr>
          <w:rFonts w:asciiTheme="majorHAnsi" w:hAnsiTheme="majorHAnsi"/>
        </w:rPr>
        <w:t xml:space="preserve"> pre dospelých v Slovenskej republike a nenárokuje si na nespochybniteľnú platnosť uvádzaných názorov a riešení, ale má ambíciu osvedčiť sa ako väčšinový názor všeobecných lekárov na Slovensku, a ako nástroj merateľnej aktivity a výsledkov práce ZVLD SR o.z. v záujme členov ZVLD SR o.z. a v záujme všeobecného lekárstva na Slovensku, pričom v centre záujmu lekára je pacient na úrovni prvého kontaktu so systémom zdravotnej starostlivosti.</w:t>
      </w:r>
    </w:p>
    <w:p w:rsidR="000756DB" w:rsidRPr="000756DB" w:rsidRDefault="000756DB" w:rsidP="000756DB">
      <w:pPr>
        <w:ind w:left="0"/>
        <w:contextualSpacing/>
        <w:rPr>
          <w:rFonts w:asciiTheme="majorHAnsi" w:hAnsiTheme="majorHAnsi"/>
        </w:rPr>
      </w:pPr>
    </w:p>
    <w:p w:rsidR="000756DB" w:rsidRDefault="000756DB" w:rsidP="000756DB">
      <w:pPr>
        <w:ind w:left="0"/>
        <w:contextualSpacing/>
        <w:rPr>
          <w:rFonts w:asciiTheme="majorHAnsi" w:hAnsiTheme="majorHAnsi"/>
        </w:rPr>
      </w:pPr>
    </w:p>
    <w:p w:rsidR="000756DB" w:rsidRDefault="000756DB" w:rsidP="000756DB">
      <w:pPr>
        <w:ind w:left="0"/>
        <w:contextualSpacing/>
        <w:rPr>
          <w:rFonts w:asciiTheme="majorHAnsi" w:hAnsiTheme="majorHAnsi"/>
        </w:rPr>
      </w:pPr>
    </w:p>
    <w:p w:rsidR="000756DB" w:rsidRDefault="000756DB" w:rsidP="000756DB">
      <w:pPr>
        <w:ind w:left="0"/>
        <w:contextualSpacing/>
        <w:rPr>
          <w:rFonts w:asciiTheme="majorHAnsi" w:hAnsiTheme="majorHAnsi"/>
        </w:rPr>
      </w:pPr>
    </w:p>
    <w:p w:rsidR="000756DB" w:rsidRDefault="000756DB" w:rsidP="000756DB">
      <w:pPr>
        <w:ind w:left="0"/>
        <w:contextualSpacing/>
        <w:rPr>
          <w:rFonts w:asciiTheme="majorHAnsi" w:hAnsiTheme="majorHAnsi"/>
        </w:rPr>
      </w:pPr>
    </w:p>
    <w:p w:rsidR="000756DB" w:rsidRDefault="000756DB" w:rsidP="000756DB">
      <w:pPr>
        <w:ind w:left="0"/>
        <w:contextualSpacing/>
        <w:rPr>
          <w:rFonts w:asciiTheme="majorHAnsi" w:hAnsiTheme="majorHAnsi"/>
        </w:rPr>
      </w:pPr>
    </w:p>
    <w:p w:rsidR="000756DB" w:rsidRDefault="000756DB" w:rsidP="000756DB">
      <w:pPr>
        <w:ind w:left="0"/>
        <w:contextualSpacing/>
        <w:rPr>
          <w:rFonts w:asciiTheme="majorHAnsi" w:hAnsiTheme="majorHAnsi"/>
        </w:rPr>
      </w:pPr>
    </w:p>
    <w:p w:rsidR="00C6599D" w:rsidRDefault="00C6599D" w:rsidP="000756DB">
      <w:pPr>
        <w:ind w:left="0"/>
        <w:contextualSpacing/>
        <w:rPr>
          <w:rFonts w:asciiTheme="majorHAnsi" w:hAnsiTheme="majorHAnsi"/>
        </w:rPr>
      </w:pPr>
    </w:p>
    <w:p w:rsidR="00C6599D" w:rsidRDefault="00C6599D" w:rsidP="000756DB">
      <w:pPr>
        <w:ind w:left="0"/>
        <w:contextualSpacing/>
        <w:rPr>
          <w:rFonts w:asciiTheme="majorHAnsi" w:hAnsiTheme="majorHAnsi"/>
        </w:rPr>
      </w:pPr>
    </w:p>
    <w:p w:rsidR="00C6599D" w:rsidRDefault="00C6599D"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jc w:val="center"/>
        <w:rPr>
          <w:rFonts w:asciiTheme="majorHAnsi" w:hAnsiTheme="majorHAnsi"/>
          <w:b/>
        </w:rPr>
      </w:pPr>
      <w:r w:rsidRPr="000756DB">
        <w:rPr>
          <w:rFonts w:asciiTheme="majorHAnsi" w:hAnsiTheme="majorHAnsi"/>
          <w:b/>
        </w:rPr>
        <w:t>II. VÝCHODISKÁ</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2.1. transparentnosť</w:t>
      </w:r>
      <w:r w:rsidRPr="000756DB">
        <w:rPr>
          <w:rFonts w:asciiTheme="majorHAnsi" w:hAnsiTheme="majorHAnsi"/>
        </w:rPr>
        <w:t xml:space="preserve"> – znamená jednoduchosť a kontrolovateľnosť dohodnutého platobného mechanizmu a dohodnutých cien. Nežiaduce je najmä:</w:t>
      </w:r>
    </w:p>
    <w:p w:rsidR="000756DB" w:rsidRPr="000756DB" w:rsidRDefault="000756DB" w:rsidP="000756DB">
      <w:pPr>
        <w:ind w:left="0"/>
        <w:contextualSpacing/>
        <w:rPr>
          <w:rFonts w:asciiTheme="majorHAnsi" w:hAnsiTheme="majorHAnsi"/>
        </w:rPr>
      </w:pPr>
      <w:r w:rsidRPr="000756DB">
        <w:rPr>
          <w:rFonts w:asciiTheme="majorHAnsi" w:hAnsiTheme="majorHAnsi"/>
        </w:rPr>
        <w:t>2.1.1. uplatňovanie väčšieho počtu korekčných mechanizmov pri výpočte ceny, ktoré sa  prípadne navzájom sa prekrývajú, a/alebo uplatňovanie väčšieho počtu progresívnych a regresívnych koeficientov</w:t>
      </w:r>
    </w:p>
    <w:p w:rsidR="000756DB" w:rsidRPr="000756DB" w:rsidRDefault="000756DB" w:rsidP="000756DB">
      <w:pPr>
        <w:ind w:left="0"/>
        <w:contextualSpacing/>
        <w:rPr>
          <w:rFonts w:asciiTheme="majorHAnsi" w:hAnsiTheme="majorHAnsi"/>
        </w:rPr>
      </w:pPr>
      <w:r w:rsidRPr="000756DB">
        <w:rPr>
          <w:rFonts w:asciiTheme="majorHAnsi" w:hAnsiTheme="majorHAnsi"/>
        </w:rPr>
        <w:t xml:space="preserve">2.1.2. odvodzovanie výsledku vnútorných procesov poskytovateľa pri poskytovaní zdravotnej starostlivosti a stanovovanie ich ceny v závislosti na výsledku vonkajších procesov, na ktoré nemôže mať poskytovateľ vplyv  </w:t>
      </w:r>
    </w:p>
    <w:p w:rsidR="000756DB" w:rsidRPr="000756DB" w:rsidRDefault="000756DB" w:rsidP="000756DB">
      <w:pPr>
        <w:ind w:left="0"/>
        <w:contextualSpacing/>
        <w:rPr>
          <w:rFonts w:asciiTheme="majorHAnsi" w:hAnsiTheme="majorHAnsi"/>
        </w:rPr>
      </w:pPr>
      <w:r w:rsidRPr="000756DB">
        <w:rPr>
          <w:rFonts w:asciiTheme="majorHAnsi" w:hAnsiTheme="majorHAnsi"/>
        </w:rPr>
        <w:t>2.1.3. príkladom pre oba uvedené príklady nežiaducej praxe sú koeficienty efektivity, ktoré sú priebežne spochybňované stanovovaním prechodných období, v ktorých platí pre všetkých poskytovateľov rovnaká hodnota danej premennej</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2.2. dostupnosť</w:t>
      </w:r>
      <w:r w:rsidRPr="000756DB">
        <w:rPr>
          <w:rFonts w:asciiTheme="majorHAnsi" w:hAnsiTheme="majorHAnsi"/>
        </w:rPr>
        <w:t xml:space="preserve"> – znamená dostupnosť zdravotnej starostlivosti pre pacienta v prvom kontakte so systémom zdravotnej starostlivosti. Dostupnosť v priestore a čase je kľúčovou premennou, ktorá charakterizuje medicínsku odôvodnenosť prvého kontaktu. Nežiaduce je najmä:</w:t>
      </w:r>
    </w:p>
    <w:p w:rsidR="000756DB" w:rsidRPr="000756DB" w:rsidRDefault="000756DB" w:rsidP="000756DB">
      <w:pPr>
        <w:ind w:left="0"/>
        <w:contextualSpacing/>
        <w:rPr>
          <w:rFonts w:asciiTheme="majorHAnsi" w:hAnsiTheme="majorHAnsi"/>
        </w:rPr>
      </w:pPr>
      <w:r w:rsidRPr="000756DB">
        <w:rPr>
          <w:rFonts w:asciiTheme="majorHAnsi" w:hAnsiTheme="majorHAnsi"/>
        </w:rPr>
        <w:t>2.2.1. spochybňovanie nevyhnutnosti paušálnej úhrady (kapitácie) ako neoddeliteľnej súčasti platobného mechanizmu prvého kontaktu</w:t>
      </w:r>
    </w:p>
    <w:p w:rsidR="000756DB" w:rsidRPr="000756DB" w:rsidRDefault="000756DB" w:rsidP="000756DB">
      <w:pPr>
        <w:ind w:left="0"/>
        <w:contextualSpacing/>
        <w:rPr>
          <w:rFonts w:asciiTheme="majorHAnsi" w:hAnsiTheme="majorHAnsi"/>
        </w:rPr>
      </w:pPr>
      <w:r w:rsidRPr="000756DB">
        <w:rPr>
          <w:rFonts w:asciiTheme="majorHAnsi" w:hAnsiTheme="majorHAnsi"/>
        </w:rPr>
        <w:t>2.2.2. spochybňovanie adekvátnej výšky paušálnej úhrady v záujme zabezpečenia financovania nevyhnutných personálnych a režijných nákladov ambulancie všeobecného lekárstva</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2.3. kvalita</w:t>
      </w:r>
      <w:r w:rsidRPr="000756DB">
        <w:rPr>
          <w:rFonts w:asciiTheme="majorHAnsi" w:hAnsiTheme="majorHAnsi"/>
        </w:rPr>
        <w:t xml:space="preserve"> – znamená spokojnosť pacienta s poskytnutím zdravotnej starostlivosti v prvom kontakte v spojení s reziduálnymi nárokmi (dopytom) pacienta na poskytnutie následnej špecializovanej, alebo ústavnej zdravotnej starostlivosti. Otázka kvality poskytovanej starostlivosti súvisí najmä s počtom vybavených dopytov pacientov za časovú jednotku v inverznej závislosti na trvaní vybavovania jednotlivého kontaktu. Potrebné je najmä:</w:t>
      </w:r>
    </w:p>
    <w:p w:rsidR="000756DB" w:rsidRPr="000756DB" w:rsidRDefault="000756DB" w:rsidP="000756DB">
      <w:pPr>
        <w:ind w:left="0"/>
        <w:contextualSpacing/>
        <w:rPr>
          <w:rFonts w:asciiTheme="majorHAnsi" w:hAnsiTheme="majorHAnsi"/>
        </w:rPr>
      </w:pPr>
      <w:r w:rsidRPr="000756DB">
        <w:rPr>
          <w:rFonts w:asciiTheme="majorHAnsi" w:hAnsiTheme="majorHAnsi"/>
        </w:rPr>
        <w:t>2.3.1. zvýšiť celkový počet lekárskych a sesterských miest na ambulanciách všeobecných lekárov</w:t>
      </w:r>
    </w:p>
    <w:p w:rsidR="000756DB" w:rsidRPr="000756DB" w:rsidRDefault="000756DB" w:rsidP="000756DB">
      <w:pPr>
        <w:ind w:left="0"/>
        <w:contextualSpacing/>
        <w:rPr>
          <w:rFonts w:asciiTheme="majorHAnsi" w:hAnsiTheme="majorHAnsi"/>
        </w:rPr>
      </w:pPr>
      <w:r w:rsidRPr="000756DB">
        <w:rPr>
          <w:rFonts w:asciiTheme="majorHAnsi" w:hAnsiTheme="majorHAnsi"/>
        </w:rPr>
        <w:t>2.3.2. zamerať pozornosť na psychosociálny aspekt zdravotnej starostlivosti v prvom kontakte</w:t>
      </w:r>
    </w:p>
    <w:p w:rsidR="000756DB" w:rsidRPr="000756DB" w:rsidRDefault="000756DB" w:rsidP="000756DB">
      <w:pPr>
        <w:ind w:left="0"/>
        <w:contextualSpacing/>
        <w:rPr>
          <w:rFonts w:asciiTheme="majorHAnsi" w:hAnsiTheme="majorHAnsi"/>
        </w:rPr>
      </w:pPr>
      <w:r w:rsidRPr="000756DB">
        <w:rPr>
          <w:rFonts w:asciiTheme="majorHAnsi" w:hAnsiTheme="majorHAnsi"/>
        </w:rPr>
        <w:t>2.3.3. pri absencii legálneho a prakticky aplikovateľného katalógu výkonov s určením času a ceny výkonu je vhodné zamerať pozornosť zdravotnej poisťovne na kontrolnú činnosť týkajúcu sa času poskytovania jednotlivého výkonu zdravotnej starostlivosti v prvom kontakte</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jc w:val="center"/>
        <w:rPr>
          <w:rFonts w:asciiTheme="majorHAnsi" w:hAnsiTheme="majorHAnsi"/>
          <w:b/>
          <w:noProof/>
          <w:lang w:eastAsia="sk-SK"/>
        </w:rPr>
      </w:pPr>
      <w:r w:rsidRPr="000756DB">
        <w:rPr>
          <w:rFonts w:asciiTheme="majorHAnsi" w:hAnsiTheme="majorHAnsi"/>
          <w:b/>
          <w:noProof/>
          <w:lang w:eastAsia="sk-SK"/>
        </w:rPr>
        <w:t>III. CIELE</w:t>
      </w:r>
    </w:p>
    <w:p w:rsidR="000756DB" w:rsidRPr="000756DB" w:rsidRDefault="000756DB" w:rsidP="000756DB">
      <w:pPr>
        <w:ind w:left="0"/>
        <w:contextualSpacing/>
        <w:rPr>
          <w:rFonts w:asciiTheme="majorHAnsi" w:hAnsiTheme="majorHAnsi"/>
          <w:noProof/>
          <w:lang w:eastAsia="sk-SK"/>
        </w:rPr>
      </w:pP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b/>
          <w:noProof/>
          <w:lang w:eastAsia="sk-SK"/>
        </w:rPr>
        <w:t xml:space="preserve">3.1. transparentnosť financovania </w:t>
      </w:r>
      <w:r w:rsidRPr="000756DB">
        <w:rPr>
          <w:rFonts w:asciiTheme="majorHAnsi" w:hAnsiTheme="majorHAnsi"/>
          <w:noProof/>
          <w:lang w:eastAsia="sk-SK"/>
        </w:rPr>
        <w:t>ambulancie všeobecného lekára zavedením jednoduchého platobného mechanizmu s využitím:</w:t>
      </w: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noProof/>
          <w:lang w:eastAsia="sk-SK"/>
        </w:rPr>
        <w:t xml:space="preserve">3.1.1. paušálnej (kapitačnej) úhrady </w:t>
      </w: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noProof/>
          <w:lang w:eastAsia="sk-SK"/>
        </w:rPr>
        <w:t>3.1.2. úhrady za výkon s rozdelením na úradu za výkonovú normu a bonifikovanú výkonovú platbu</w:t>
      </w:r>
    </w:p>
    <w:p w:rsidR="000756DB" w:rsidRPr="000756DB" w:rsidRDefault="000756DB" w:rsidP="000756DB">
      <w:pPr>
        <w:ind w:left="0"/>
        <w:contextualSpacing/>
        <w:rPr>
          <w:rFonts w:asciiTheme="majorHAnsi" w:hAnsiTheme="majorHAnsi"/>
          <w:noProof/>
          <w:lang w:eastAsia="sk-SK"/>
        </w:rPr>
      </w:pP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b/>
          <w:noProof/>
          <w:lang w:eastAsia="sk-SK"/>
        </w:rPr>
        <w:t>3.2. zvýšenie a udržanie celkového počtu lekárskych miest</w:t>
      </w:r>
      <w:r w:rsidRPr="000756DB">
        <w:rPr>
          <w:rFonts w:asciiTheme="majorHAnsi" w:hAnsiTheme="majorHAnsi"/>
          <w:noProof/>
          <w:lang w:eastAsia="sk-SK"/>
        </w:rPr>
        <w:t xml:space="preserve"> na ambulanciách všeobecného lekárstva o 300 – 400 lekárov (a minimálne rovnaký počet sestier) v horizonte 5 rokov s využitím:</w:t>
      </w: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noProof/>
          <w:lang w:eastAsia="sk-SK"/>
        </w:rPr>
        <w:t>3.2.1. platobného mechanizmu (3.1.) ako základného nástroja</w:t>
      </w: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noProof/>
          <w:lang w:eastAsia="sk-SK"/>
        </w:rPr>
        <w:t>3.2.2. paušálnej úhrady za vytvorenie nového lekárskeho miesta (integrovaná ambulancia)</w:t>
      </w: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noProof/>
          <w:lang w:eastAsia="sk-SK"/>
        </w:rPr>
        <w:t>3.2</w:t>
      </w:r>
      <w:r w:rsidR="005E1F29">
        <w:rPr>
          <w:rFonts w:asciiTheme="majorHAnsi" w:hAnsiTheme="majorHAnsi"/>
          <w:noProof/>
          <w:lang w:eastAsia="sk-SK"/>
        </w:rPr>
        <w:t>.3. plynulej generačnej výmeny</w:t>
      </w:r>
      <w:r w:rsidRPr="000756DB">
        <w:rPr>
          <w:rFonts w:asciiTheme="majorHAnsi" w:hAnsiTheme="majorHAnsi"/>
          <w:noProof/>
          <w:lang w:eastAsia="sk-SK"/>
        </w:rPr>
        <w:t xml:space="preserve"> na lekárskych miestach VLD (pošpecializačný program)</w:t>
      </w:r>
    </w:p>
    <w:p w:rsidR="000756DB" w:rsidRPr="000756DB" w:rsidRDefault="000756DB" w:rsidP="000756DB">
      <w:pPr>
        <w:ind w:left="0"/>
        <w:contextualSpacing/>
        <w:rPr>
          <w:rFonts w:asciiTheme="majorHAnsi" w:hAnsiTheme="majorHAnsi"/>
          <w:noProof/>
          <w:lang w:eastAsia="sk-SK"/>
        </w:rPr>
      </w:pP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b/>
          <w:noProof/>
          <w:lang w:eastAsia="sk-SK"/>
        </w:rPr>
        <w:t>3.3. zabezpečenie organizačnej a ekonomickej nezávislosti prvého kontaktu</w:t>
      </w:r>
      <w:r w:rsidRPr="000756DB">
        <w:rPr>
          <w:rFonts w:asciiTheme="majorHAnsi" w:hAnsiTheme="majorHAnsi"/>
          <w:noProof/>
          <w:lang w:eastAsia="sk-SK"/>
        </w:rPr>
        <w:t xml:space="preserve"> ako základného kameňa v systéme zdravotnej starostlivosti od štruktúry a vlastníckych vzťahov v následnej špecializovanej a ústavnej zdravotnej starostlivsti v záujme predchádzania možným problémom s dostupnosťou zdravotnej starostlivosti</w:t>
      </w:r>
    </w:p>
    <w:p w:rsidR="000756DB" w:rsidRPr="000756DB" w:rsidRDefault="000756DB" w:rsidP="000756DB">
      <w:pPr>
        <w:ind w:left="0"/>
        <w:contextualSpacing/>
        <w:rPr>
          <w:rFonts w:asciiTheme="majorHAnsi" w:hAnsiTheme="majorHAnsi"/>
          <w:noProof/>
          <w:lang w:eastAsia="sk-SK"/>
        </w:rPr>
      </w:pP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b/>
          <w:noProof/>
          <w:lang w:eastAsia="sk-SK"/>
        </w:rPr>
        <w:t>3.4. zvýšenie medicínskej efektivity</w:t>
      </w:r>
      <w:r w:rsidRPr="000756DB">
        <w:rPr>
          <w:rFonts w:asciiTheme="majorHAnsi" w:hAnsiTheme="majorHAnsi"/>
          <w:noProof/>
          <w:lang w:eastAsia="sk-SK"/>
        </w:rPr>
        <w:t xml:space="preserve"> </w:t>
      </w:r>
      <w:r w:rsidRPr="000756DB">
        <w:rPr>
          <w:rFonts w:asciiTheme="majorHAnsi" w:hAnsiTheme="majorHAnsi"/>
          <w:b/>
          <w:noProof/>
          <w:lang w:eastAsia="sk-SK"/>
        </w:rPr>
        <w:t>prvého kontaktu</w:t>
      </w:r>
      <w:r w:rsidRPr="000756DB">
        <w:rPr>
          <w:rFonts w:asciiTheme="majorHAnsi" w:hAnsiTheme="majorHAnsi"/>
          <w:noProof/>
          <w:lang w:eastAsia="sk-SK"/>
        </w:rPr>
        <w:t xml:space="preserve"> racionalizáciou jeho vnútornej ekonomiky v spojení s optimalizáciou dostupnosti zdravotnej starostlivosti (integrovaná ambulancia)</w:t>
      </w:r>
    </w:p>
    <w:p w:rsidR="000756DB" w:rsidRPr="000756DB" w:rsidRDefault="000756DB" w:rsidP="000756DB">
      <w:pPr>
        <w:ind w:left="0"/>
        <w:contextualSpacing/>
        <w:rPr>
          <w:rFonts w:asciiTheme="majorHAnsi" w:hAnsiTheme="majorHAnsi"/>
          <w:noProof/>
          <w:lang w:eastAsia="sk-SK"/>
        </w:rPr>
      </w:pPr>
    </w:p>
    <w:p w:rsidR="00C6599D" w:rsidRDefault="00C6599D" w:rsidP="000756DB">
      <w:pPr>
        <w:ind w:left="0"/>
        <w:contextualSpacing/>
        <w:rPr>
          <w:rFonts w:asciiTheme="majorHAnsi" w:hAnsiTheme="majorHAnsi"/>
          <w:b/>
          <w:noProof/>
          <w:lang w:eastAsia="sk-SK"/>
        </w:rPr>
      </w:pP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b/>
          <w:noProof/>
          <w:lang w:eastAsia="sk-SK"/>
        </w:rPr>
        <w:t>3.5. optimalizácia miestnej a časovej dostupnosti prvého kontaktu</w:t>
      </w:r>
      <w:r w:rsidRPr="000756DB">
        <w:rPr>
          <w:rFonts w:asciiTheme="majorHAnsi" w:hAnsiTheme="majorHAnsi"/>
          <w:noProof/>
          <w:lang w:eastAsia="sk-SK"/>
        </w:rPr>
        <w:t xml:space="preserve"> a optimalizácia logistiky pohybu pacienta v systéme zdravotnej starostlivosti v rámci prvého kontaktu pacienta so systémom zdravotnej starostlivosti (integrovaná ambulancia, telemedicína – MAIA MD)</w:t>
      </w:r>
    </w:p>
    <w:p w:rsidR="000756DB" w:rsidRPr="000756DB" w:rsidRDefault="000756DB" w:rsidP="000756DB">
      <w:pPr>
        <w:ind w:left="0"/>
        <w:contextualSpacing/>
        <w:rPr>
          <w:rFonts w:asciiTheme="majorHAnsi" w:hAnsiTheme="majorHAnsi"/>
          <w:noProof/>
          <w:lang w:eastAsia="sk-SK"/>
        </w:rPr>
      </w:pPr>
    </w:p>
    <w:p w:rsidR="000756DB" w:rsidRPr="000756DB" w:rsidRDefault="000756DB" w:rsidP="000756DB">
      <w:pPr>
        <w:ind w:left="0"/>
        <w:contextualSpacing/>
        <w:rPr>
          <w:rFonts w:asciiTheme="majorHAnsi" w:hAnsiTheme="majorHAnsi"/>
          <w:noProof/>
          <w:lang w:eastAsia="sk-SK"/>
        </w:rPr>
      </w:pPr>
    </w:p>
    <w:p w:rsidR="000756DB" w:rsidRPr="000756DB" w:rsidRDefault="000756DB" w:rsidP="000756DB">
      <w:pPr>
        <w:ind w:left="0"/>
        <w:contextualSpacing/>
        <w:jc w:val="center"/>
        <w:rPr>
          <w:rFonts w:asciiTheme="majorHAnsi" w:hAnsiTheme="majorHAnsi"/>
          <w:b/>
        </w:rPr>
      </w:pPr>
      <w:r w:rsidRPr="000756DB">
        <w:rPr>
          <w:rFonts w:asciiTheme="majorHAnsi" w:hAnsiTheme="majorHAnsi"/>
          <w:b/>
        </w:rPr>
        <w:t>IV. NÁSTROJE</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4.1. stanovenie optimálneho počtu kapitovaných pacientov</w:t>
      </w:r>
      <w:r w:rsidRPr="000756DB">
        <w:rPr>
          <w:rFonts w:asciiTheme="majorHAnsi" w:hAnsiTheme="majorHAnsi"/>
        </w:rPr>
        <w:t xml:space="preserve"> ambulancie všeobecného lekára s 1 lekárom a 1 sestrou (alebo zdravotníckou asistentkou/asistentom) – stanoví sa arbitrárne rozhodnutím snemu, alebo správnej rady ZVLD SR o.z., ako referenčné kritérium pre stanovenie dohodou so zdravotnou poisťovňou </w:t>
      </w:r>
    </w:p>
    <w:p w:rsidR="000756DB" w:rsidRPr="000756DB" w:rsidRDefault="000756DB" w:rsidP="000756DB">
      <w:pPr>
        <w:ind w:left="0"/>
        <w:contextualSpacing/>
        <w:rPr>
          <w:rFonts w:asciiTheme="majorHAnsi" w:hAnsiTheme="majorHAnsi"/>
        </w:rPr>
      </w:pPr>
      <w:r w:rsidRPr="000756DB">
        <w:rPr>
          <w:rFonts w:asciiTheme="majorHAnsi" w:hAnsiTheme="majorHAnsi"/>
        </w:rPr>
        <w:t>(ilustračne 1.600 pacientov)</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 xml:space="preserve">4.2. stanovenie minimálneho celkového príjmu ambulancie </w:t>
      </w:r>
      <w:r w:rsidRPr="000756DB">
        <w:rPr>
          <w:rFonts w:asciiTheme="majorHAnsi" w:hAnsiTheme="majorHAnsi"/>
        </w:rPr>
        <w:t xml:space="preserve">všeobecného lekára s 1 lekárom a 1 sestrou (alebo zdravotníckou asistentkou/asistentom) a </w:t>
      </w:r>
      <w:r w:rsidRPr="000756DB">
        <w:rPr>
          <w:rFonts w:asciiTheme="majorHAnsi" w:hAnsiTheme="majorHAnsi"/>
          <w:b/>
        </w:rPr>
        <w:t>maximálneho pomeru výkonovej a kapitačnej platby</w:t>
      </w:r>
      <w:r w:rsidRPr="000756DB">
        <w:rPr>
          <w:rFonts w:asciiTheme="majorHAnsi" w:hAnsiTheme="majorHAnsi"/>
        </w:rPr>
        <w:t xml:space="preserve"> </w:t>
      </w:r>
      <w:r w:rsidRPr="000756DB">
        <w:rPr>
          <w:rFonts w:asciiTheme="majorHAnsi" w:hAnsiTheme="majorHAnsi"/>
          <w:b/>
        </w:rPr>
        <w:t> </w:t>
      </w:r>
      <w:r w:rsidRPr="000756DB">
        <w:rPr>
          <w:rFonts w:asciiTheme="majorHAnsi" w:hAnsiTheme="majorHAnsi"/>
        </w:rPr>
        <w:t xml:space="preserve">– stanoví sa arbitrárne rozhodnutím snemu, alebo správnej rady ZVLD SR o.z., ako referenčné kritérium pre stanovenie dohodou so zdravotnou poisťovňou </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4.3. stanovenie priemernej výšky kapitačnej platby</w:t>
      </w:r>
      <w:r w:rsidRPr="000756DB">
        <w:rPr>
          <w:rFonts w:asciiTheme="majorHAnsi" w:hAnsiTheme="majorHAnsi"/>
        </w:rPr>
        <w:t xml:space="preserve"> (vekové kategórie sa pripúšťajú) na jedného pacienta – navrhovaná cena sa stanovuje arbitrárne rozhodnutím snemu, alebo správnej rady ZVLD SR o.z., ako referenčné kritérium pre stanovenie dohodou so zdravotnou poisťovňou </w:t>
      </w:r>
    </w:p>
    <w:p w:rsidR="000756DB" w:rsidRPr="000756DB" w:rsidRDefault="000756DB" w:rsidP="000756DB">
      <w:pPr>
        <w:ind w:left="0"/>
        <w:contextualSpacing/>
        <w:rPr>
          <w:rFonts w:asciiTheme="majorHAnsi" w:hAnsiTheme="majorHAnsi"/>
        </w:rPr>
      </w:pPr>
      <w:r w:rsidRPr="000756DB">
        <w:rPr>
          <w:rFonts w:asciiTheme="majorHAnsi" w:hAnsiTheme="majorHAnsi"/>
        </w:rPr>
        <w:t>(ilustračne 3,- EUR → 3 x 1.600 = 4.800,-EUR)</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b/>
        </w:rPr>
        <w:t xml:space="preserve">4.4. stanovenie rozsahu </w:t>
      </w:r>
      <w:r w:rsidRPr="000756DB">
        <w:rPr>
          <w:rFonts w:asciiTheme="majorHAnsi" w:hAnsiTheme="majorHAnsi"/>
          <w:b/>
          <w:noProof/>
          <w:lang w:eastAsia="sk-SK"/>
        </w:rPr>
        <w:t>úhrady za výkon</w:t>
      </w:r>
      <w:r w:rsidRPr="000756DB">
        <w:rPr>
          <w:rFonts w:asciiTheme="majorHAnsi" w:hAnsiTheme="majorHAnsi"/>
          <w:noProof/>
          <w:lang w:eastAsia="sk-SK"/>
        </w:rPr>
        <w:t xml:space="preserve"> na </w:t>
      </w:r>
      <w:r w:rsidRPr="000756DB">
        <w:rPr>
          <w:rFonts w:asciiTheme="majorHAnsi" w:hAnsiTheme="majorHAnsi"/>
        </w:rPr>
        <w:t xml:space="preserve">ambulancii všeobecného lekára (preventívna starostlivosť, kompetencie ambulancie všeobecného lekára, </w:t>
      </w:r>
      <w:r w:rsidRPr="000756DB">
        <w:rPr>
          <w:rFonts w:asciiTheme="majorHAnsi" w:hAnsiTheme="majorHAnsi"/>
          <w:noProof/>
          <w:lang w:eastAsia="sk-SK"/>
        </w:rPr>
        <w:t xml:space="preserve">telemedicína – MAIA MD)  </w:t>
      </w:r>
      <w:r w:rsidRPr="000756DB">
        <w:rPr>
          <w:rFonts w:asciiTheme="majorHAnsi" w:hAnsiTheme="majorHAnsi"/>
        </w:rPr>
        <w:t>– stanoví sa dohodou so zdravotnou poisťovňou</w:t>
      </w:r>
    </w:p>
    <w:p w:rsidR="000756DB" w:rsidRPr="000756DB" w:rsidRDefault="000756DB" w:rsidP="000756DB">
      <w:pPr>
        <w:ind w:left="0"/>
        <w:contextualSpacing/>
        <w:rPr>
          <w:rFonts w:asciiTheme="majorHAnsi" w:hAnsiTheme="majorHAnsi"/>
          <w:b/>
        </w:rPr>
      </w:pPr>
    </w:p>
    <w:p w:rsidR="000756DB" w:rsidRPr="000756DB" w:rsidRDefault="000756DB" w:rsidP="000756DB">
      <w:pPr>
        <w:ind w:left="0"/>
        <w:contextualSpacing/>
        <w:rPr>
          <w:rFonts w:asciiTheme="majorHAnsi" w:hAnsiTheme="majorHAnsi"/>
        </w:rPr>
      </w:pPr>
      <w:r w:rsidRPr="000756DB">
        <w:rPr>
          <w:rFonts w:asciiTheme="majorHAnsi" w:hAnsiTheme="majorHAnsi"/>
          <w:b/>
        </w:rPr>
        <w:t>4.5. stanovenie ceny bodu</w:t>
      </w:r>
      <w:r w:rsidRPr="000756DB">
        <w:rPr>
          <w:rFonts w:asciiTheme="majorHAnsi" w:hAnsiTheme="majorHAnsi"/>
        </w:rPr>
        <w:t xml:space="preserve"> a ceny výkonov mimo bodových hodnotení výkonov v súlade s premennými stanovenými v bodoch  4.1.- 4.3. a to </w:t>
      </w:r>
      <w:r w:rsidRPr="000756DB">
        <w:rPr>
          <w:rFonts w:asciiTheme="majorHAnsi" w:hAnsiTheme="majorHAnsi"/>
          <w:b/>
        </w:rPr>
        <w:t xml:space="preserve">v závislosti na celkovom objeme maximálneho výkonu prepočítaného na jedného pacienta </w:t>
      </w:r>
      <w:r w:rsidRPr="000756DB">
        <w:rPr>
          <w:rFonts w:asciiTheme="majorHAnsi" w:hAnsiTheme="majorHAnsi"/>
        </w:rPr>
        <w:t>v podmienkach  ambulancie všeobecného lekára s optimálnym počtom pacientov (1.600)  – stanoví sa dohodou so zdravotnou poisťovňou</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 xml:space="preserve">4.6. </w:t>
      </w:r>
      <w:r w:rsidRPr="000756DB">
        <w:rPr>
          <w:rFonts w:asciiTheme="majorHAnsi" w:hAnsiTheme="majorHAnsi"/>
          <w:b/>
          <w:noProof/>
          <w:lang w:eastAsia="sk-SK"/>
        </w:rPr>
        <w:t>výkonová norma a bonifikovaná výkonová platba</w:t>
      </w:r>
      <w:r w:rsidRPr="000756DB">
        <w:rPr>
          <w:rFonts w:asciiTheme="majorHAnsi" w:hAnsiTheme="majorHAnsi"/>
          <w:noProof/>
          <w:lang w:eastAsia="sk-SK"/>
        </w:rPr>
        <w:t xml:space="preserve"> </w:t>
      </w:r>
      <w:r w:rsidRPr="000756DB">
        <w:rPr>
          <w:rFonts w:asciiTheme="majorHAnsi" w:hAnsiTheme="majorHAnsi"/>
        </w:rPr>
        <w:t>– stanoví sa dohodou so zdravotnou poisťovňou, a to z hľadiska:</w:t>
      </w:r>
    </w:p>
    <w:p w:rsidR="000756DB" w:rsidRPr="000756DB" w:rsidRDefault="000756DB" w:rsidP="000756DB">
      <w:pPr>
        <w:ind w:left="0"/>
        <w:contextualSpacing/>
        <w:rPr>
          <w:rFonts w:asciiTheme="majorHAnsi" w:hAnsiTheme="majorHAnsi"/>
        </w:rPr>
      </w:pPr>
      <w:r w:rsidRPr="000756DB">
        <w:rPr>
          <w:rFonts w:asciiTheme="majorHAnsi" w:hAnsiTheme="majorHAnsi"/>
        </w:rPr>
        <w:t xml:space="preserve">4.6.1. pomeru výkonovej a kapitačnej platby v súlade s bodom 4.2. </w:t>
      </w:r>
    </w:p>
    <w:p w:rsidR="000756DB" w:rsidRPr="000756DB" w:rsidRDefault="000756DB" w:rsidP="000756DB">
      <w:pPr>
        <w:ind w:left="0"/>
        <w:contextualSpacing/>
        <w:rPr>
          <w:rFonts w:asciiTheme="majorHAnsi" w:hAnsiTheme="majorHAnsi"/>
        </w:rPr>
      </w:pPr>
      <w:r w:rsidRPr="000756DB">
        <w:rPr>
          <w:rFonts w:asciiTheme="majorHAnsi" w:hAnsiTheme="majorHAnsi"/>
        </w:rPr>
        <w:t xml:space="preserve">4.6.2. pomeru výkonovej normy a výkonovej bonifikácie </w:t>
      </w:r>
    </w:p>
    <w:p w:rsidR="000756DB" w:rsidRPr="000756DB" w:rsidRDefault="000756DB" w:rsidP="000756DB">
      <w:pPr>
        <w:ind w:left="0"/>
        <w:contextualSpacing/>
        <w:rPr>
          <w:rFonts w:asciiTheme="majorHAnsi" w:hAnsiTheme="majorHAnsi"/>
        </w:rPr>
      </w:pPr>
      <w:r w:rsidRPr="000756DB">
        <w:rPr>
          <w:rFonts w:asciiTheme="majorHAnsi" w:hAnsiTheme="majorHAnsi"/>
        </w:rPr>
        <w:t xml:space="preserve">4.6.3. výšky výkonovej bonifikácie (bonifikácia ako 2-násobok ceny normy) </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u w:val="single"/>
        </w:rPr>
        <w:t>Grafická ilustrácia 4.2, 4.6</w:t>
      </w:r>
      <w:r w:rsidRPr="000756DB">
        <w:rPr>
          <w:rFonts w:asciiTheme="majorHAnsi" w:hAnsiTheme="majorHAnsi"/>
          <w:sz w:val="18"/>
          <w:szCs w:val="18"/>
        </w:rPr>
        <w:t xml:space="preserve"> – maximálny pomer výkonovej a kapitačnej platby, celkový príjem ambulancie  všeobecného lekára s 1 lekárom a 1 sestrou, výkonová norma a bonifikovaná výkonová platba:</w:t>
      </w:r>
    </w:p>
    <w:p w:rsidR="000756DB" w:rsidRPr="000756DB" w:rsidRDefault="000756DB" w:rsidP="000756DB">
      <w:pPr>
        <w:ind w:left="0"/>
        <w:contextualSpacing/>
        <w:rPr>
          <w:rFonts w:asciiTheme="majorHAnsi" w:hAnsiTheme="majorHAnsi"/>
          <w:sz w:val="18"/>
          <w:szCs w:val="18"/>
        </w:rPr>
      </w:pPr>
    </w:p>
    <w:tbl>
      <w:tblPr>
        <w:tblStyle w:val="Mriekatabuky"/>
        <w:tblW w:w="0" w:type="auto"/>
        <w:tblLook w:val="04A0"/>
      </w:tblPr>
      <w:tblGrid>
        <w:gridCol w:w="5353"/>
        <w:gridCol w:w="1559"/>
        <w:gridCol w:w="1134"/>
        <w:gridCol w:w="1166"/>
      </w:tblGrid>
      <w:tr w:rsidR="000756DB" w:rsidRPr="000756DB" w:rsidTr="006F4E74">
        <w:tc>
          <w:tcPr>
            <w:tcW w:w="9212" w:type="dxa"/>
            <w:gridSpan w:val="4"/>
          </w:tcPr>
          <w:p w:rsidR="000756DB" w:rsidRPr="000756DB" w:rsidRDefault="000756DB" w:rsidP="006F4E74">
            <w:pPr>
              <w:ind w:left="0"/>
              <w:contextualSpacing/>
              <w:rPr>
                <w:rFonts w:asciiTheme="majorHAnsi" w:hAnsiTheme="majorHAnsi"/>
                <w:b/>
                <w:noProof/>
                <w:lang w:eastAsia="sk-SK"/>
              </w:rPr>
            </w:pPr>
            <w:r w:rsidRPr="000756DB">
              <w:rPr>
                <w:rFonts w:asciiTheme="majorHAnsi" w:hAnsiTheme="majorHAnsi"/>
                <w:noProof/>
                <w:lang w:eastAsia="sk-SK"/>
              </w:rPr>
              <w:t xml:space="preserve">        </w:t>
            </w:r>
            <w:r w:rsidRPr="000756DB">
              <w:rPr>
                <w:rFonts w:asciiTheme="majorHAnsi" w:hAnsiTheme="majorHAnsi"/>
                <w:b/>
                <w:noProof/>
                <w:lang w:eastAsia="sk-SK"/>
              </w:rPr>
              <w:t xml:space="preserve">celkový príjem ambulancie </w:t>
            </w:r>
            <w:r w:rsidRPr="000756DB">
              <w:rPr>
                <w:rFonts w:asciiTheme="majorHAnsi" w:hAnsiTheme="majorHAnsi"/>
                <w:b/>
              </w:rPr>
              <w:t xml:space="preserve">všeobecného lekára s 1 lekárom a 1 sestrou ( 1.600 pacientov) </w:t>
            </w:r>
          </w:p>
        </w:tc>
      </w:tr>
      <w:tr w:rsidR="000756DB" w:rsidRPr="000756DB" w:rsidTr="006F4E74">
        <w:tc>
          <w:tcPr>
            <w:tcW w:w="5353" w:type="dxa"/>
          </w:tcPr>
          <w:p w:rsidR="000756DB" w:rsidRPr="000756DB" w:rsidRDefault="000756DB" w:rsidP="006F4E74">
            <w:pPr>
              <w:ind w:left="0"/>
              <w:contextualSpacing/>
              <w:rPr>
                <w:rFonts w:asciiTheme="majorHAnsi" w:hAnsiTheme="majorHAnsi"/>
                <w:b/>
                <w:noProof/>
                <w:sz w:val="26"/>
                <w:szCs w:val="26"/>
                <w:lang w:eastAsia="sk-SK"/>
              </w:rPr>
            </w:pPr>
            <w:r w:rsidRPr="000756DB">
              <w:rPr>
                <w:rFonts w:asciiTheme="majorHAnsi" w:hAnsiTheme="majorHAnsi"/>
                <w:noProof/>
                <w:sz w:val="26"/>
                <w:szCs w:val="26"/>
                <w:lang w:eastAsia="sk-SK"/>
              </w:rPr>
              <w:t xml:space="preserve">                                      </w:t>
            </w:r>
            <w:r w:rsidRPr="000756DB">
              <w:rPr>
                <w:rFonts w:asciiTheme="majorHAnsi" w:hAnsiTheme="majorHAnsi"/>
                <w:b/>
                <w:noProof/>
                <w:sz w:val="26"/>
                <w:szCs w:val="26"/>
                <w:lang w:eastAsia="sk-SK"/>
              </w:rPr>
              <w:t>65% = K</w:t>
            </w:r>
          </w:p>
        </w:tc>
        <w:tc>
          <w:tcPr>
            <w:tcW w:w="1559" w:type="dxa"/>
            <w:shd w:val="clear" w:color="auto" w:fill="D9D9D9" w:themeFill="background1" w:themeFillShade="D9"/>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20% = </w:t>
            </w:r>
            <w:r w:rsidRPr="000756DB">
              <w:rPr>
                <w:rFonts w:asciiTheme="majorHAnsi" w:hAnsiTheme="majorHAnsi"/>
                <w:b/>
                <w:noProof/>
                <w:sz w:val="26"/>
                <w:szCs w:val="26"/>
                <w:lang w:eastAsia="sk-SK"/>
              </w:rPr>
              <w:t>N</w:t>
            </w:r>
          </w:p>
        </w:tc>
        <w:tc>
          <w:tcPr>
            <w:tcW w:w="2300" w:type="dxa"/>
            <w:gridSpan w:val="2"/>
            <w:shd w:val="clear" w:color="auto" w:fill="D9D9D9" w:themeFill="background1" w:themeFillShade="D9"/>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15% x 2 = </w:t>
            </w:r>
            <w:r w:rsidRPr="000756DB">
              <w:rPr>
                <w:rFonts w:asciiTheme="majorHAnsi" w:hAnsiTheme="majorHAnsi"/>
                <w:b/>
                <w:noProof/>
                <w:sz w:val="26"/>
                <w:szCs w:val="26"/>
                <w:lang w:eastAsia="sk-SK"/>
              </w:rPr>
              <w:t>B</w:t>
            </w:r>
          </w:p>
        </w:tc>
      </w:tr>
      <w:tr w:rsidR="000756DB" w:rsidRPr="000756DB" w:rsidTr="006F4E74">
        <w:tc>
          <w:tcPr>
            <w:tcW w:w="5353" w:type="dxa"/>
          </w:tcPr>
          <w:p w:rsidR="000756DB" w:rsidRPr="000756DB" w:rsidRDefault="000756DB" w:rsidP="006F4E74">
            <w:pPr>
              <w:ind w:left="0"/>
              <w:contextualSpacing/>
              <w:rPr>
                <w:rFonts w:asciiTheme="majorHAnsi" w:hAnsiTheme="majorHAnsi"/>
                <w:noProof/>
                <w:sz w:val="24"/>
                <w:szCs w:val="24"/>
                <w:lang w:eastAsia="sk-SK"/>
              </w:rPr>
            </w:pPr>
            <w:r w:rsidRPr="000756DB">
              <w:rPr>
                <w:rFonts w:asciiTheme="majorHAnsi" w:hAnsiTheme="majorHAnsi"/>
                <w:noProof/>
                <w:sz w:val="26"/>
                <w:szCs w:val="26"/>
                <w:lang w:eastAsia="sk-SK"/>
              </w:rPr>
              <w:t xml:space="preserve">                                    </w:t>
            </w:r>
            <w:r w:rsidRPr="000756DB">
              <w:rPr>
                <w:rFonts w:asciiTheme="majorHAnsi" w:hAnsiTheme="majorHAnsi"/>
                <w:noProof/>
                <w:sz w:val="24"/>
                <w:szCs w:val="24"/>
                <w:lang w:eastAsia="sk-SK"/>
              </w:rPr>
              <w:t>4.800,-EUR</w:t>
            </w:r>
          </w:p>
        </w:tc>
        <w:tc>
          <w:tcPr>
            <w:tcW w:w="1559" w:type="dxa"/>
          </w:tcPr>
          <w:p w:rsidR="000756DB" w:rsidRPr="000756DB" w:rsidRDefault="000756DB" w:rsidP="006F4E74">
            <w:pPr>
              <w:ind w:left="0"/>
              <w:contextualSpacing/>
              <w:rPr>
                <w:rFonts w:asciiTheme="majorHAnsi" w:hAnsiTheme="majorHAnsi"/>
                <w:noProof/>
                <w:sz w:val="24"/>
                <w:szCs w:val="24"/>
                <w:lang w:eastAsia="sk-SK"/>
              </w:rPr>
            </w:pPr>
            <w:r w:rsidRPr="000756DB">
              <w:rPr>
                <w:rFonts w:asciiTheme="majorHAnsi" w:hAnsiTheme="majorHAnsi"/>
                <w:noProof/>
                <w:sz w:val="24"/>
                <w:szCs w:val="24"/>
                <w:lang w:eastAsia="sk-SK"/>
              </w:rPr>
              <w:t>1.477,-EUR</w:t>
            </w:r>
          </w:p>
        </w:tc>
        <w:tc>
          <w:tcPr>
            <w:tcW w:w="2300" w:type="dxa"/>
            <w:gridSpan w:val="2"/>
          </w:tcPr>
          <w:p w:rsidR="000756DB" w:rsidRPr="000756DB" w:rsidRDefault="000756DB" w:rsidP="006F4E74">
            <w:pPr>
              <w:ind w:left="0"/>
              <w:contextualSpacing/>
              <w:rPr>
                <w:rFonts w:asciiTheme="majorHAnsi" w:hAnsiTheme="majorHAnsi"/>
                <w:noProof/>
                <w:sz w:val="24"/>
                <w:szCs w:val="24"/>
                <w:lang w:eastAsia="sk-SK"/>
              </w:rPr>
            </w:pPr>
            <w:r w:rsidRPr="000756DB">
              <w:rPr>
                <w:rFonts w:asciiTheme="majorHAnsi" w:hAnsiTheme="majorHAnsi"/>
                <w:noProof/>
                <w:sz w:val="24"/>
                <w:szCs w:val="24"/>
                <w:lang w:eastAsia="sk-SK"/>
              </w:rPr>
              <w:t>1.108x2 = 2.216,-EUR</w:t>
            </w:r>
          </w:p>
        </w:tc>
      </w:tr>
      <w:tr w:rsidR="000756DB" w:rsidRPr="000756DB" w:rsidTr="006F4E74">
        <w:tc>
          <w:tcPr>
            <w:tcW w:w="5353" w:type="dxa"/>
          </w:tcPr>
          <w:p w:rsidR="000756DB" w:rsidRPr="000756DB" w:rsidRDefault="000756DB" w:rsidP="006F4E74">
            <w:pPr>
              <w:ind w:left="0"/>
              <w:contextualSpacing/>
              <w:rPr>
                <w:rFonts w:asciiTheme="majorHAnsi" w:hAnsiTheme="majorHAnsi"/>
                <w:b/>
                <w:noProof/>
                <w:sz w:val="24"/>
                <w:szCs w:val="24"/>
                <w:lang w:eastAsia="sk-SK"/>
              </w:rPr>
            </w:pPr>
            <w:r w:rsidRPr="000756DB">
              <w:rPr>
                <w:rFonts w:asciiTheme="majorHAnsi" w:hAnsiTheme="majorHAnsi"/>
                <w:noProof/>
                <w:sz w:val="24"/>
                <w:szCs w:val="24"/>
                <w:lang w:eastAsia="sk-SK"/>
              </w:rPr>
              <w:t xml:space="preserve">          </w:t>
            </w:r>
            <w:r w:rsidRPr="000756DB">
              <w:rPr>
                <w:rFonts w:asciiTheme="majorHAnsi" w:hAnsiTheme="majorHAnsi"/>
                <w:b/>
                <w:noProof/>
                <w:sz w:val="24"/>
                <w:szCs w:val="24"/>
                <w:lang w:eastAsia="sk-SK"/>
              </w:rPr>
              <w:t>spolu za kapitáciu a výkon 8.493,-EUR</w:t>
            </w:r>
          </w:p>
        </w:tc>
        <w:tc>
          <w:tcPr>
            <w:tcW w:w="3859" w:type="dxa"/>
            <w:gridSpan w:val="3"/>
            <w:shd w:val="clear" w:color="auto" w:fill="D9D9D9" w:themeFill="background1" w:themeFillShade="D9"/>
          </w:tcPr>
          <w:p w:rsidR="000756DB" w:rsidRPr="000756DB" w:rsidRDefault="000756DB" w:rsidP="006F4E74">
            <w:pPr>
              <w:ind w:left="0"/>
              <w:contextualSpacing/>
              <w:rPr>
                <w:rFonts w:asciiTheme="majorHAnsi" w:hAnsiTheme="majorHAnsi"/>
                <w:noProof/>
                <w:sz w:val="24"/>
                <w:szCs w:val="24"/>
                <w:lang w:eastAsia="sk-SK"/>
              </w:rPr>
            </w:pPr>
            <w:r w:rsidRPr="000756DB">
              <w:rPr>
                <w:rFonts w:asciiTheme="majorHAnsi" w:hAnsiTheme="majorHAnsi"/>
                <w:noProof/>
                <w:sz w:val="24"/>
                <w:szCs w:val="24"/>
                <w:lang w:eastAsia="sk-SK"/>
              </w:rPr>
              <w:t xml:space="preserve"> spolu za výkony 3.693,-EUR = úhrada</w:t>
            </w:r>
          </w:p>
        </w:tc>
      </w:tr>
      <w:tr w:rsidR="000756DB" w:rsidRPr="000756DB" w:rsidTr="006F4E74">
        <w:tc>
          <w:tcPr>
            <w:tcW w:w="5353" w:type="dxa"/>
            <w:shd w:val="clear" w:color="auto" w:fill="F2F2F2" w:themeFill="background1" w:themeFillShade="F2"/>
          </w:tcPr>
          <w:p w:rsidR="000756DB" w:rsidRPr="000756DB" w:rsidRDefault="000756DB" w:rsidP="006F4E74">
            <w:pPr>
              <w:tabs>
                <w:tab w:val="right" w:pos="5426"/>
              </w:tabs>
              <w:ind w:left="0"/>
              <w:contextualSpacing/>
              <w:rPr>
                <w:rFonts w:asciiTheme="majorHAnsi" w:hAnsiTheme="majorHAnsi"/>
                <w:noProof/>
                <w:sz w:val="24"/>
                <w:szCs w:val="24"/>
                <w:lang w:eastAsia="sk-SK"/>
              </w:rPr>
            </w:pPr>
            <w:r w:rsidRPr="000756DB">
              <w:rPr>
                <w:rFonts w:asciiTheme="majorHAnsi" w:hAnsiTheme="majorHAnsi"/>
                <w:b/>
                <w:noProof/>
                <w:sz w:val="24"/>
                <w:szCs w:val="24"/>
                <w:lang w:eastAsia="sk-SK"/>
              </w:rPr>
              <w:t xml:space="preserve">  35% za výkony</w:t>
            </w:r>
            <w:r w:rsidRPr="000756DB">
              <w:rPr>
                <w:rFonts w:asciiTheme="majorHAnsi" w:hAnsiTheme="majorHAnsi"/>
                <w:noProof/>
                <w:sz w:val="24"/>
                <w:szCs w:val="24"/>
                <w:lang w:eastAsia="sk-SK"/>
              </w:rPr>
              <w:t xml:space="preserve"> = na 1 pacienta pripdá </w:t>
            </w:r>
            <w:r w:rsidRPr="000756DB">
              <w:rPr>
                <w:rFonts w:asciiTheme="majorHAnsi" w:hAnsiTheme="majorHAnsi"/>
                <w:b/>
                <w:noProof/>
                <w:sz w:val="24"/>
                <w:szCs w:val="24"/>
                <w:lang w:eastAsia="sk-SK"/>
              </w:rPr>
              <w:t>1,62</w:t>
            </w:r>
            <w:r w:rsidRPr="000756DB">
              <w:rPr>
                <w:rFonts w:asciiTheme="majorHAnsi" w:hAnsiTheme="majorHAnsi"/>
                <w:noProof/>
                <w:sz w:val="24"/>
                <w:szCs w:val="24"/>
                <w:lang w:eastAsia="sk-SK"/>
              </w:rPr>
              <w:t xml:space="preserve"> EUR  </w:t>
            </w:r>
            <w:r w:rsidRPr="000756DB">
              <w:rPr>
                <w:rFonts w:asciiTheme="majorHAnsi" w:hAnsiTheme="majorHAnsi"/>
                <w:noProof/>
                <w:sz w:val="24"/>
                <w:szCs w:val="24"/>
                <w:lang w:eastAsia="sk-SK"/>
              </w:rPr>
              <w:tab/>
            </w:r>
          </w:p>
        </w:tc>
        <w:tc>
          <w:tcPr>
            <w:tcW w:w="2693" w:type="dxa"/>
            <w:gridSpan w:val="2"/>
            <w:shd w:val="clear" w:color="auto" w:fill="F2F2F2" w:themeFill="background1" w:themeFillShade="F2"/>
          </w:tcPr>
          <w:p w:rsidR="000756DB" w:rsidRPr="000756DB" w:rsidRDefault="000756DB" w:rsidP="006F4E74">
            <w:pPr>
              <w:ind w:left="0"/>
              <w:contextualSpacing/>
              <w:rPr>
                <w:rFonts w:asciiTheme="majorHAnsi" w:hAnsiTheme="majorHAnsi"/>
                <w:noProof/>
                <w:sz w:val="24"/>
                <w:szCs w:val="24"/>
                <w:lang w:eastAsia="sk-SK"/>
              </w:rPr>
            </w:pPr>
            <w:r w:rsidRPr="000756DB">
              <w:rPr>
                <w:rFonts w:asciiTheme="majorHAnsi" w:hAnsiTheme="majorHAnsi"/>
                <w:noProof/>
                <w:sz w:val="24"/>
                <w:szCs w:val="24"/>
                <w:lang w:eastAsia="sk-SK"/>
              </w:rPr>
              <w:t>skutočný objem výkonov</w:t>
            </w:r>
          </w:p>
        </w:tc>
        <w:tc>
          <w:tcPr>
            <w:tcW w:w="1166" w:type="dxa"/>
          </w:tcPr>
          <w:p w:rsidR="000756DB" w:rsidRPr="000756DB" w:rsidRDefault="000756DB" w:rsidP="006F4E74">
            <w:pPr>
              <w:ind w:left="0"/>
              <w:contextualSpacing/>
              <w:rPr>
                <w:rFonts w:asciiTheme="majorHAnsi" w:hAnsiTheme="majorHAnsi"/>
                <w:noProof/>
                <w:sz w:val="24"/>
                <w:szCs w:val="24"/>
                <w:lang w:eastAsia="sk-SK"/>
              </w:rPr>
            </w:pPr>
            <w:r w:rsidRPr="000756DB">
              <w:rPr>
                <w:rFonts w:asciiTheme="majorHAnsi" w:hAnsiTheme="majorHAnsi"/>
                <w:noProof/>
                <w:sz w:val="24"/>
                <w:szCs w:val="24"/>
                <w:lang w:eastAsia="sk-SK"/>
              </w:rPr>
              <w:t>2.585,-EUR</w:t>
            </w:r>
          </w:p>
        </w:tc>
      </w:tr>
    </w:tbl>
    <w:p w:rsidR="000756DB" w:rsidRDefault="000756DB" w:rsidP="000756DB">
      <w:pPr>
        <w:ind w:left="0"/>
        <w:contextualSpacing/>
        <w:rPr>
          <w:rFonts w:asciiTheme="majorHAnsi" w:hAnsiTheme="majorHAnsi"/>
          <w:sz w:val="18"/>
          <w:szCs w:val="18"/>
        </w:rPr>
      </w:pPr>
    </w:p>
    <w:p w:rsidR="00C6599D" w:rsidRPr="000756DB" w:rsidRDefault="00C6599D"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65% kapitácia= K   (platba za výkon je 35%)</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20% výkonová norma = N</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15% bonifikovaná výkonová platba = B, ktorá je násobená číslom 2 (viz. 4.6.3)</w:t>
      </w:r>
    </w:p>
    <w:p w:rsidR="000756DB" w:rsidRPr="000756DB" w:rsidRDefault="000756DB" w:rsidP="000756DB">
      <w:pPr>
        <w:ind w:left="0"/>
        <w:contextualSpacing/>
        <w:rPr>
          <w:rFonts w:asciiTheme="majorHAnsi" w:hAnsiTheme="majorHAnsi"/>
          <w:b/>
          <w:sz w:val="18"/>
          <w:szCs w:val="18"/>
        </w:rPr>
      </w:pPr>
      <w:r w:rsidRPr="000756DB">
        <w:rPr>
          <w:rFonts w:asciiTheme="majorHAnsi" w:hAnsiTheme="majorHAnsi"/>
          <w:b/>
          <w:sz w:val="18"/>
          <w:szCs w:val="18"/>
        </w:rPr>
        <w:t xml:space="preserve">Pri takto nastavených premenných (K, N, B) vyplýva dohodnutý výkonovo-kapitačný pomer 23,5% - to je hranica od ktorej sa výkon bonifikuje súčiniteľom 2,0. </w:t>
      </w:r>
      <w:r w:rsidRPr="000756DB">
        <w:rPr>
          <w:rFonts w:asciiTheme="majorHAnsi" w:hAnsiTheme="majorHAnsi"/>
          <w:sz w:val="18"/>
          <w:szCs w:val="18"/>
        </w:rPr>
        <w:t>( výpočet výkonovo-kapitačného pomeru: 20% / (65+20)% = 23,5%)</w:t>
      </w:r>
      <w:r w:rsidRPr="000756DB">
        <w:rPr>
          <w:rFonts w:asciiTheme="majorHAnsi" w:hAnsiTheme="majorHAnsi"/>
          <w:b/>
          <w:sz w:val="18"/>
          <w:szCs w:val="18"/>
        </w:rPr>
        <w:t xml:space="preserve">    </w:t>
      </w:r>
    </w:p>
    <w:p w:rsidR="000756DB" w:rsidRPr="000756DB" w:rsidRDefault="000756DB" w:rsidP="000756DB">
      <w:pPr>
        <w:ind w:left="0"/>
        <w:contextualSpacing/>
        <w:rPr>
          <w:rFonts w:asciiTheme="majorHAnsi" w:hAnsiTheme="majorHAnsi"/>
          <w:sz w:val="18"/>
          <w:szCs w:val="18"/>
        </w:rPr>
      </w:pPr>
    </w:p>
    <w:p w:rsidR="00C6599D" w:rsidRDefault="00C6599D" w:rsidP="000756DB">
      <w:pPr>
        <w:ind w:left="0"/>
        <w:contextualSpacing/>
        <w:rPr>
          <w:rFonts w:asciiTheme="majorHAnsi" w:hAnsiTheme="majorHAnsi"/>
          <w:b/>
        </w:rPr>
      </w:pPr>
    </w:p>
    <w:p w:rsidR="00C6599D" w:rsidRDefault="00C6599D" w:rsidP="000756DB">
      <w:pPr>
        <w:ind w:left="0"/>
        <w:contextualSpacing/>
        <w:rPr>
          <w:rFonts w:asciiTheme="majorHAnsi" w:hAnsiTheme="majorHAnsi"/>
          <w:b/>
        </w:rPr>
      </w:pPr>
    </w:p>
    <w:p w:rsidR="00C6599D" w:rsidRDefault="00C6599D" w:rsidP="000756DB">
      <w:pPr>
        <w:ind w:left="0"/>
        <w:contextualSpacing/>
        <w:rPr>
          <w:rFonts w:asciiTheme="majorHAnsi" w:hAnsiTheme="majorHAnsi"/>
          <w:b/>
        </w:rPr>
      </w:pPr>
    </w:p>
    <w:p w:rsidR="000756DB" w:rsidRPr="000756DB" w:rsidRDefault="000756DB" w:rsidP="000756DB">
      <w:pPr>
        <w:ind w:left="0"/>
        <w:contextualSpacing/>
        <w:rPr>
          <w:rFonts w:asciiTheme="majorHAnsi" w:hAnsiTheme="majorHAnsi"/>
          <w:b/>
        </w:rPr>
      </w:pPr>
      <w:r w:rsidRPr="000756DB">
        <w:rPr>
          <w:rFonts w:asciiTheme="majorHAnsi" w:hAnsiTheme="majorHAnsi"/>
          <w:b/>
        </w:rPr>
        <w:t xml:space="preserve">4.7. porovnanie nastavenia premenných K, N, B  </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rPr>
        <w:t>1. Optimum?</w:t>
      </w:r>
    </w:p>
    <w:tbl>
      <w:tblPr>
        <w:tblStyle w:val="Mriekatabuky"/>
        <w:tblW w:w="0" w:type="auto"/>
        <w:tblLook w:val="04A0"/>
      </w:tblPr>
      <w:tblGrid>
        <w:gridCol w:w="5353"/>
        <w:gridCol w:w="1559"/>
        <w:gridCol w:w="2300"/>
      </w:tblGrid>
      <w:tr w:rsidR="000756DB" w:rsidRPr="000756DB" w:rsidTr="006F4E74">
        <w:tc>
          <w:tcPr>
            <w:tcW w:w="9212" w:type="dxa"/>
            <w:gridSpan w:val="3"/>
          </w:tcPr>
          <w:p w:rsidR="000756DB" w:rsidRPr="000756DB" w:rsidRDefault="000756DB" w:rsidP="006F4E74">
            <w:pPr>
              <w:ind w:left="0"/>
              <w:contextualSpacing/>
              <w:rPr>
                <w:rFonts w:asciiTheme="majorHAnsi" w:hAnsiTheme="majorHAnsi"/>
                <w:noProof/>
                <w:lang w:eastAsia="sk-SK"/>
              </w:rPr>
            </w:pPr>
            <w:r w:rsidRPr="000756DB">
              <w:rPr>
                <w:rFonts w:asciiTheme="majorHAnsi" w:hAnsiTheme="majorHAnsi"/>
                <w:noProof/>
                <w:lang w:eastAsia="sk-SK"/>
              </w:rPr>
              <w:t xml:space="preserve">                                                </w:t>
            </w:r>
            <w:r w:rsidRPr="000756DB">
              <w:rPr>
                <w:rFonts w:asciiTheme="majorHAnsi" w:hAnsiTheme="majorHAnsi"/>
                <w:b/>
                <w:noProof/>
                <w:lang w:eastAsia="sk-SK"/>
              </w:rPr>
              <w:t xml:space="preserve">celkový príjem ambulancie </w:t>
            </w:r>
            <w:r w:rsidRPr="000756DB">
              <w:rPr>
                <w:rFonts w:asciiTheme="majorHAnsi" w:hAnsiTheme="majorHAnsi"/>
                <w:b/>
              </w:rPr>
              <w:t xml:space="preserve">všeobecného lekára </w:t>
            </w:r>
          </w:p>
        </w:tc>
      </w:tr>
      <w:tr w:rsidR="000756DB" w:rsidRPr="000756DB" w:rsidTr="006F4E74">
        <w:tc>
          <w:tcPr>
            <w:tcW w:w="5353" w:type="dxa"/>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65% = K</w:t>
            </w:r>
          </w:p>
        </w:tc>
        <w:tc>
          <w:tcPr>
            <w:tcW w:w="1559" w:type="dxa"/>
            <w:shd w:val="clear" w:color="auto" w:fill="FFFFFF" w:themeFill="background1"/>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20% = N</w:t>
            </w:r>
          </w:p>
        </w:tc>
        <w:tc>
          <w:tcPr>
            <w:tcW w:w="2300" w:type="dxa"/>
            <w:shd w:val="clear" w:color="auto" w:fill="FFFFFF" w:themeFill="background1"/>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15% x 2 = B</w:t>
            </w:r>
          </w:p>
        </w:tc>
      </w:tr>
    </w:tbl>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rPr>
      </w:pPr>
      <w:r w:rsidRPr="000756DB">
        <w:rPr>
          <w:rFonts w:asciiTheme="majorHAnsi" w:hAnsiTheme="majorHAnsi"/>
        </w:rPr>
        <w:t>2. nevýhodné pre VLD !</w:t>
      </w:r>
    </w:p>
    <w:tbl>
      <w:tblPr>
        <w:tblStyle w:val="Mriekatabuky"/>
        <w:tblW w:w="0" w:type="auto"/>
        <w:tblLook w:val="04A0"/>
      </w:tblPr>
      <w:tblGrid>
        <w:gridCol w:w="4786"/>
        <w:gridCol w:w="2552"/>
        <w:gridCol w:w="1874"/>
      </w:tblGrid>
      <w:tr w:rsidR="000756DB" w:rsidRPr="000756DB" w:rsidTr="006F4E74">
        <w:tc>
          <w:tcPr>
            <w:tcW w:w="4786" w:type="dxa"/>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55% = K</w:t>
            </w:r>
          </w:p>
        </w:tc>
        <w:tc>
          <w:tcPr>
            <w:tcW w:w="2552" w:type="dxa"/>
            <w:shd w:val="clear" w:color="auto" w:fill="D9D9D9" w:themeFill="background1" w:themeFillShade="D9"/>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35% = N</w:t>
            </w:r>
          </w:p>
        </w:tc>
        <w:tc>
          <w:tcPr>
            <w:tcW w:w="1874" w:type="dxa"/>
            <w:shd w:val="clear" w:color="auto" w:fill="A6A6A6" w:themeFill="background1" w:themeFillShade="A6"/>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10% x 2 = B</w:t>
            </w:r>
          </w:p>
        </w:tc>
      </w:tr>
    </w:tbl>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noProof/>
          <w:lang w:eastAsia="sk-SK"/>
        </w:rPr>
        <w:t>Zvyšovaním hodnoty N sa zvyšuje výkonovo-kapitačný pomer, ako hranica na bonifikáciu výkonov nad touto hodnotou. V tomto príklade sa súšasne redukoval absolútny objem úhrady za kapitáciu a objem bonifikovaných výkonov, čo ešte výraznejšie znevýhodňuje pozícu VLD.</w:t>
      </w:r>
    </w:p>
    <w:p w:rsidR="000756DB" w:rsidRPr="000756DB" w:rsidRDefault="000756DB" w:rsidP="000756DB">
      <w:pPr>
        <w:ind w:left="0"/>
        <w:contextualSpacing/>
        <w:rPr>
          <w:rFonts w:asciiTheme="majorHAnsi" w:hAnsiTheme="majorHAnsi"/>
          <w:noProof/>
          <w:sz w:val="26"/>
          <w:szCs w:val="26"/>
          <w:lang w:eastAsia="sk-SK"/>
        </w:rPr>
      </w:pP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noProof/>
          <w:lang w:eastAsia="sk-SK"/>
        </w:rPr>
        <w:t xml:space="preserve">3. výhodné pre VLD </w:t>
      </w:r>
      <w:r w:rsidRPr="000756DB">
        <w:rPr>
          <w:rFonts w:asciiTheme="majorHAnsi" w:hAnsiTheme="majorHAnsi"/>
          <w:noProof/>
          <w:lang w:eastAsia="sk-SK"/>
        </w:rPr>
        <w:sym w:font="Wingdings" w:char="F04A"/>
      </w:r>
    </w:p>
    <w:tbl>
      <w:tblPr>
        <w:tblStyle w:val="Mriekatabuky"/>
        <w:tblW w:w="0" w:type="auto"/>
        <w:tblLook w:val="04A0"/>
      </w:tblPr>
      <w:tblGrid>
        <w:gridCol w:w="5637"/>
        <w:gridCol w:w="1275"/>
        <w:gridCol w:w="2300"/>
      </w:tblGrid>
      <w:tr w:rsidR="000756DB" w:rsidRPr="000756DB" w:rsidTr="006F4E74">
        <w:tc>
          <w:tcPr>
            <w:tcW w:w="5637" w:type="dxa"/>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70% = K</w:t>
            </w:r>
          </w:p>
        </w:tc>
        <w:tc>
          <w:tcPr>
            <w:tcW w:w="1275" w:type="dxa"/>
            <w:shd w:val="clear" w:color="auto" w:fill="D9D9D9" w:themeFill="background1" w:themeFillShade="D9"/>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15% = N</w:t>
            </w:r>
          </w:p>
        </w:tc>
        <w:tc>
          <w:tcPr>
            <w:tcW w:w="2300" w:type="dxa"/>
            <w:shd w:val="clear" w:color="auto" w:fill="A6A6A6" w:themeFill="background1" w:themeFillShade="A6"/>
          </w:tcPr>
          <w:p w:rsidR="000756DB" w:rsidRPr="000756DB" w:rsidRDefault="000756DB" w:rsidP="006F4E74">
            <w:pPr>
              <w:ind w:left="0"/>
              <w:contextualSpacing/>
              <w:rPr>
                <w:rFonts w:asciiTheme="majorHAnsi" w:hAnsiTheme="majorHAnsi"/>
                <w:noProof/>
                <w:sz w:val="26"/>
                <w:szCs w:val="26"/>
                <w:lang w:eastAsia="sk-SK"/>
              </w:rPr>
            </w:pPr>
            <w:r w:rsidRPr="000756DB">
              <w:rPr>
                <w:rFonts w:asciiTheme="majorHAnsi" w:hAnsiTheme="majorHAnsi"/>
                <w:noProof/>
                <w:sz w:val="26"/>
                <w:szCs w:val="26"/>
                <w:lang w:eastAsia="sk-SK"/>
              </w:rPr>
              <w:t xml:space="preserve">       15% x 2 = B</w:t>
            </w:r>
          </w:p>
        </w:tc>
      </w:tr>
    </w:tbl>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noProof/>
          <w:lang w:eastAsia="sk-SK"/>
        </w:rPr>
        <w:t xml:space="preserve">Znižovaním nodnoty N sa zvyšuje absolútny objem kapitácie a znižuje sa výkonovo-kapitačný pomer, </w:t>
      </w:r>
    </w:p>
    <w:p w:rsidR="000756DB" w:rsidRPr="000756DB" w:rsidRDefault="000756DB" w:rsidP="000756DB">
      <w:pPr>
        <w:ind w:left="0"/>
        <w:contextualSpacing/>
        <w:rPr>
          <w:rFonts w:asciiTheme="majorHAnsi" w:hAnsiTheme="majorHAnsi"/>
          <w:noProof/>
          <w:lang w:eastAsia="sk-SK"/>
        </w:rPr>
      </w:pPr>
      <w:r w:rsidRPr="000756DB">
        <w:rPr>
          <w:rFonts w:asciiTheme="majorHAnsi" w:hAnsiTheme="majorHAnsi"/>
          <w:noProof/>
          <w:lang w:eastAsia="sk-SK"/>
        </w:rPr>
        <w:t>čím sa sprístupňuje objem bonifikovanej kapitácie za nižší výkon. V tomto príklade sa absolútny objem bonifikovanej kapitácie nezmenil.</w:t>
      </w:r>
    </w:p>
    <w:p w:rsidR="005E1F29" w:rsidRDefault="005E1F29" w:rsidP="000756DB">
      <w:pPr>
        <w:ind w:left="0"/>
        <w:contextualSpacing/>
        <w:rPr>
          <w:rFonts w:asciiTheme="majorHAnsi" w:hAnsiTheme="majorHAnsi"/>
          <w:b/>
        </w:rPr>
      </w:pPr>
    </w:p>
    <w:p w:rsidR="000756DB" w:rsidRPr="000756DB" w:rsidRDefault="000756DB" w:rsidP="000756DB">
      <w:pPr>
        <w:ind w:left="0"/>
        <w:contextualSpacing/>
        <w:rPr>
          <w:rFonts w:asciiTheme="majorHAnsi" w:hAnsiTheme="majorHAnsi"/>
          <w:b/>
        </w:rPr>
      </w:pPr>
      <w:r w:rsidRPr="000756DB">
        <w:rPr>
          <w:rFonts w:asciiTheme="majorHAnsi" w:hAnsiTheme="majorHAnsi"/>
          <w:b/>
        </w:rPr>
        <w:t xml:space="preserve">Príklad č. 1. </w:t>
      </w:r>
    </w:p>
    <w:p w:rsidR="000756DB" w:rsidRPr="000756DB" w:rsidRDefault="000756DB" w:rsidP="000756DB">
      <w:pPr>
        <w:ind w:left="0"/>
        <w:contextualSpacing/>
        <w:rPr>
          <w:rFonts w:asciiTheme="majorHAnsi" w:hAnsiTheme="majorHAnsi"/>
          <w:b/>
          <w:sz w:val="18"/>
          <w:szCs w:val="18"/>
        </w:rPr>
      </w:pPr>
      <w:r w:rsidRPr="000756DB">
        <w:rPr>
          <w:rFonts w:asciiTheme="majorHAnsi" w:hAnsiTheme="majorHAnsi"/>
          <w:b/>
          <w:sz w:val="18"/>
          <w:szCs w:val="18"/>
        </w:rPr>
        <w:t xml:space="preserve">Výpočet pohľadávok za zdravotnú starostlivosť v prípade „nášho optimálneho“ nastavenia (K=65, N=20, B=15, 1.600 pac.), ak lekár využíva výkonový objem na 100% možného: </w:t>
      </w:r>
    </w:p>
    <w:p w:rsidR="000756DB" w:rsidRPr="000756DB" w:rsidRDefault="000756DB" w:rsidP="000756DB">
      <w:pPr>
        <w:ind w:left="0"/>
        <w:contextualSpacing/>
        <w:rPr>
          <w:rFonts w:asciiTheme="majorHAnsi" w:hAnsiTheme="majorHAnsi"/>
          <w:b/>
          <w:sz w:val="18"/>
          <w:szCs w:val="18"/>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PZS má 1.600 pacientov a kapitáciu ................................................................................................................................ 4.800,-EUR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PZS realizoval výkony za .................................................................................................................................................. 2.585,-EUR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Zmluvne dohodnutá hranica výkonovo-kapitačného pomeru, od ktorej sa úhrada za výkon bonifikuje súčiniteľom 2,0 ...... 23,5%</w:t>
      </w:r>
    </w:p>
    <w:p w:rsidR="000756DB" w:rsidRPr="000756DB" w:rsidRDefault="000756DB" w:rsidP="000756DB">
      <w:pPr>
        <w:pBdr>
          <w:bottom w:val="single" w:sz="6" w:space="1" w:color="auto"/>
        </w:pBd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 xml:space="preserve">Krok č.1: </w:t>
      </w:r>
      <w:r w:rsidRPr="000756DB">
        <w:rPr>
          <w:rFonts w:asciiTheme="majorHAnsi" w:hAnsiTheme="majorHAnsi"/>
          <w:sz w:val="18"/>
          <w:szCs w:val="18"/>
        </w:rPr>
        <w:t>výpočet dosiahnutého výkonovo-kapitačného pomeru: 2.585 / (2.585 + 4.800) = 0,35</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č.2:</w:t>
      </w:r>
      <w:r w:rsidRPr="000756DB">
        <w:rPr>
          <w:rFonts w:asciiTheme="majorHAnsi" w:hAnsiTheme="majorHAnsi"/>
          <w:sz w:val="18"/>
          <w:szCs w:val="18"/>
        </w:rPr>
        <w:t xml:space="preserve"> výpočet objemu úhrady do 23,5%  výkonovo-kapitačného pomeru: [4.800/(100 – 23,5)] x 100 = 6.275,-EUR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č.3:</w:t>
      </w:r>
      <w:r w:rsidRPr="000756DB">
        <w:rPr>
          <w:rFonts w:asciiTheme="majorHAnsi" w:hAnsiTheme="majorHAnsi"/>
          <w:sz w:val="18"/>
          <w:szCs w:val="18"/>
        </w:rPr>
        <w:t xml:space="preserve"> výpočet bonifikovaného objemu: (4.800 + 2.585) – 6.275 = 1.110,-EUR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č.4:</w:t>
      </w:r>
      <w:r w:rsidRPr="000756DB">
        <w:rPr>
          <w:rFonts w:asciiTheme="majorHAnsi" w:hAnsiTheme="majorHAnsi"/>
          <w:sz w:val="18"/>
          <w:szCs w:val="18"/>
        </w:rPr>
        <w:t xml:space="preserve"> výpočet výslednej úhrady poisťovne: 6.275 + (2 x 1.110) = </w:t>
      </w:r>
      <w:r w:rsidRPr="000756DB">
        <w:rPr>
          <w:rFonts w:asciiTheme="majorHAnsi" w:hAnsiTheme="majorHAnsi"/>
          <w:b/>
          <w:sz w:val="18"/>
          <w:szCs w:val="18"/>
        </w:rPr>
        <w:t>8.495,-EUR</w:t>
      </w:r>
      <w:r w:rsidRPr="000756DB">
        <w:rPr>
          <w:rFonts w:asciiTheme="majorHAnsi" w:hAnsiTheme="majorHAnsi"/>
          <w:sz w:val="18"/>
          <w:szCs w:val="18"/>
        </w:rPr>
        <w:t xml:space="preserve"> </w:t>
      </w: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b/>
        </w:rPr>
      </w:pPr>
      <w:r w:rsidRPr="000756DB">
        <w:rPr>
          <w:rFonts w:asciiTheme="majorHAnsi" w:hAnsiTheme="majorHAnsi"/>
          <w:b/>
        </w:rPr>
        <w:t xml:space="preserve">Príklad č. 2. </w:t>
      </w:r>
    </w:p>
    <w:p w:rsidR="000756DB" w:rsidRPr="000756DB" w:rsidRDefault="000756DB" w:rsidP="000756DB">
      <w:pPr>
        <w:ind w:left="0"/>
        <w:contextualSpacing/>
        <w:rPr>
          <w:rFonts w:asciiTheme="majorHAnsi" w:hAnsiTheme="majorHAnsi"/>
          <w:b/>
          <w:sz w:val="18"/>
          <w:szCs w:val="18"/>
        </w:rPr>
      </w:pPr>
      <w:r w:rsidRPr="000756DB">
        <w:rPr>
          <w:rFonts w:asciiTheme="majorHAnsi" w:hAnsiTheme="majorHAnsi"/>
          <w:b/>
          <w:sz w:val="18"/>
          <w:szCs w:val="18"/>
        </w:rPr>
        <w:t>Výpočet pohľadávok za zdravotnú starostlivosť v prípade NEVÝHODNÉHO nastavenia (K=55, N=35, B=10, 1.600 pac. so zachovaním celkového príjmu na ambulanciu</w:t>
      </w:r>
      <w:r w:rsidRPr="000756DB">
        <w:rPr>
          <w:rFonts w:asciiTheme="majorHAnsi" w:hAnsiTheme="majorHAnsi"/>
          <w:sz w:val="18"/>
          <w:szCs w:val="18"/>
        </w:rPr>
        <w:t xml:space="preserve"> 7.385 = 4.800 + 2.585 = 4.062 + 3.323</w:t>
      </w:r>
      <w:r w:rsidRPr="000756DB">
        <w:rPr>
          <w:rFonts w:asciiTheme="majorHAnsi" w:hAnsiTheme="majorHAnsi"/>
          <w:b/>
          <w:sz w:val="18"/>
          <w:szCs w:val="18"/>
        </w:rPr>
        <w:t xml:space="preserve">), ak lekár využíva výkonový objem na 100% možného: </w:t>
      </w: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PZS má 1.600 pacientov a kapitáciu ................................................................................................................................ 4.062,-EUR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PZS realizoval výkony za .................................................................................................................................................. 3.323,-EUR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Zmluvne dohodnutá hranica výkonovo-kapitačného pomeru, od ktorej sa úhrada za výkon bonifikuje súčiniteľom 2,0 ...... 39,0%</w:t>
      </w:r>
    </w:p>
    <w:p w:rsidR="000756DB" w:rsidRPr="000756DB" w:rsidRDefault="000756DB" w:rsidP="000756DB">
      <w:pPr>
        <w:pBdr>
          <w:bottom w:val="single" w:sz="6" w:space="1" w:color="auto"/>
        </w:pBd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 xml:space="preserve">Krok č.1: </w:t>
      </w:r>
      <w:r w:rsidRPr="000756DB">
        <w:rPr>
          <w:rFonts w:asciiTheme="majorHAnsi" w:hAnsiTheme="majorHAnsi"/>
          <w:sz w:val="18"/>
          <w:szCs w:val="18"/>
        </w:rPr>
        <w:t>výpočet dosiahnutého výkonovo-kapitačného pomeru: 3.323 / (4.062 + 3.323) = 0,45</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č.2:</w:t>
      </w:r>
      <w:r w:rsidRPr="000756DB">
        <w:rPr>
          <w:rFonts w:asciiTheme="majorHAnsi" w:hAnsiTheme="majorHAnsi"/>
          <w:sz w:val="18"/>
          <w:szCs w:val="18"/>
        </w:rPr>
        <w:t xml:space="preserve"> výpočet objemu úhrady do 39%  výkonovo-kapitačného pomeru: [4.062/(100 – 39)] x 100 = 6.659,-EUR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č.3:</w:t>
      </w:r>
      <w:r w:rsidRPr="000756DB">
        <w:rPr>
          <w:rFonts w:asciiTheme="majorHAnsi" w:hAnsiTheme="majorHAnsi"/>
          <w:sz w:val="18"/>
          <w:szCs w:val="18"/>
        </w:rPr>
        <w:t xml:space="preserve"> výpočet bonifikovaného objemu: (4.062 + 3.323) – 6.659 = 726,-EUR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č.4:</w:t>
      </w:r>
      <w:r w:rsidRPr="000756DB">
        <w:rPr>
          <w:rFonts w:asciiTheme="majorHAnsi" w:hAnsiTheme="majorHAnsi"/>
          <w:sz w:val="18"/>
          <w:szCs w:val="18"/>
        </w:rPr>
        <w:t xml:space="preserve"> výpočet výslednej úhrady poisťovne: 6.659 + (2 x 726) = </w:t>
      </w:r>
      <w:r w:rsidRPr="000756DB">
        <w:rPr>
          <w:rFonts w:asciiTheme="majorHAnsi" w:hAnsiTheme="majorHAnsi"/>
          <w:b/>
          <w:sz w:val="18"/>
          <w:szCs w:val="18"/>
        </w:rPr>
        <w:t>8.111,-EUR</w:t>
      </w:r>
      <w:r w:rsidRPr="000756DB">
        <w:rPr>
          <w:rFonts w:asciiTheme="majorHAnsi" w:hAnsiTheme="majorHAnsi"/>
          <w:sz w:val="18"/>
          <w:szCs w:val="18"/>
        </w:rPr>
        <w:t xml:space="preserve"> </w:t>
      </w: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b/>
        </w:rPr>
      </w:pPr>
      <w:r w:rsidRPr="000756DB">
        <w:rPr>
          <w:rFonts w:asciiTheme="majorHAnsi" w:hAnsiTheme="majorHAnsi"/>
          <w:b/>
        </w:rPr>
        <w:t xml:space="preserve">Príklad č. 3. </w:t>
      </w:r>
    </w:p>
    <w:p w:rsidR="000756DB" w:rsidRPr="000756DB" w:rsidRDefault="000756DB" w:rsidP="000756DB">
      <w:pPr>
        <w:ind w:left="0"/>
        <w:contextualSpacing/>
        <w:rPr>
          <w:rFonts w:asciiTheme="majorHAnsi" w:hAnsiTheme="majorHAnsi"/>
          <w:b/>
          <w:sz w:val="18"/>
          <w:szCs w:val="18"/>
        </w:rPr>
      </w:pPr>
      <w:r w:rsidRPr="000756DB">
        <w:rPr>
          <w:rFonts w:asciiTheme="majorHAnsi" w:hAnsiTheme="majorHAnsi"/>
          <w:b/>
          <w:sz w:val="18"/>
          <w:szCs w:val="18"/>
        </w:rPr>
        <w:t>Výpočet pohľadávok za zdravotnú starostlivosť v prípade VÝHODNÉHO nastavenia (K=70, N=15, B=15, 1.600 pac. so zachovaním celkového príjmu na ambulanciu</w:t>
      </w:r>
      <w:r w:rsidRPr="000756DB">
        <w:rPr>
          <w:rFonts w:asciiTheme="majorHAnsi" w:hAnsiTheme="majorHAnsi"/>
          <w:sz w:val="18"/>
          <w:szCs w:val="18"/>
        </w:rPr>
        <w:t xml:space="preserve"> 7.385 = 4.800 + 2.585 = 5.169 + 2.216</w:t>
      </w:r>
      <w:r w:rsidRPr="000756DB">
        <w:rPr>
          <w:rFonts w:asciiTheme="majorHAnsi" w:hAnsiTheme="majorHAnsi"/>
          <w:b/>
          <w:sz w:val="18"/>
          <w:szCs w:val="18"/>
        </w:rPr>
        <w:t xml:space="preserve">), ak lekár využíva výkonový objem na 80% možného: </w:t>
      </w: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PZS má 1.600 pacientov a kapitáciu ................................................................................................................................ 5.169,-EUR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PZS realizoval výkony za .............................................................................................................................. 2.216 x 0,8 = 1.773,-EUR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Zmluvne dohodnutá hranica výkonovo-kapitačného pomeru, od ktorej sa úhrada za výkon bonifikuje súčiniteľom 2,0 ...... 18,0%</w:t>
      </w:r>
    </w:p>
    <w:p w:rsidR="000756DB" w:rsidRPr="000756DB" w:rsidRDefault="000756DB" w:rsidP="000756DB">
      <w:pPr>
        <w:pBdr>
          <w:bottom w:val="single" w:sz="6" w:space="1" w:color="auto"/>
        </w:pBd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 xml:space="preserve">Krok č.1: </w:t>
      </w:r>
      <w:r w:rsidRPr="000756DB">
        <w:rPr>
          <w:rFonts w:asciiTheme="majorHAnsi" w:hAnsiTheme="majorHAnsi"/>
          <w:sz w:val="18"/>
          <w:szCs w:val="18"/>
        </w:rPr>
        <w:t>výpočet dosiahnutého výkonovo-kapitačného pomeru: 2.216 x 0,8 / (5.169 + 2.216) = 0,24</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č.2:</w:t>
      </w:r>
      <w:r w:rsidRPr="000756DB">
        <w:rPr>
          <w:rFonts w:asciiTheme="majorHAnsi" w:hAnsiTheme="majorHAnsi"/>
          <w:sz w:val="18"/>
          <w:szCs w:val="18"/>
        </w:rPr>
        <w:t xml:space="preserve"> výpočet objemu úhrady do 18%  výkonovo-kapitačného pomeru: [5.169 /(100 – 18)] x 100 = 6.304,-EUR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č.3:</w:t>
      </w:r>
      <w:r w:rsidRPr="000756DB">
        <w:rPr>
          <w:rFonts w:asciiTheme="majorHAnsi" w:hAnsiTheme="majorHAnsi"/>
          <w:sz w:val="18"/>
          <w:szCs w:val="18"/>
        </w:rPr>
        <w:t xml:space="preserve"> výpočet bonifikovaného objemu: (5.169 + 2.216 x 0,8) – 6.304 = 638,-EUR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č.4:</w:t>
      </w:r>
      <w:r w:rsidRPr="000756DB">
        <w:rPr>
          <w:rFonts w:asciiTheme="majorHAnsi" w:hAnsiTheme="majorHAnsi"/>
          <w:sz w:val="18"/>
          <w:szCs w:val="18"/>
        </w:rPr>
        <w:t xml:space="preserve"> výpočet výslednej úhrady poisťovne: 6.304 + (2 x 638) = </w:t>
      </w:r>
      <w:r w:rsidRPr="000756DB">
        <w:rPr>
          <w:rFonts w:asciiTheme="majorHAnsi" w:hAnsiTheme="majorHAnsi"/>
          <w:b/>
          <w:sz w:val="18"/>
          <w:szCs w:val="18"/>
        </w:rPr>
        <w:t>7.580,-EUR</w:t>
      </w:r>
      <w:r w:rsidRPr="000756DB">
        <w:rPr>
          <w:rFonts w:asciiTheme="majorHAnsi" w:hAnsiTheme="majorHAnsi"/>
          <w:sz w:val="18"/>
          <w:szCs w:val="18"/>
        </w:rPr>
        <w:t xml:space="preserve"> </w:t>
      </w:r>
    </w:p>
    <w:p w:rsidR="000756DB" w:rsidRPr="000756DB" w:rsidRDefault="000756DB" w:rsidP="000756DB">
      <w:pPr>
        <w:ind w:left="0"/>
        <w:contextualSpacing/>
        <w:rPr>
          <w:rFonts w:asciiTheme="majorHAnsi" w:hAnsiTheme="majorHAnsi"/>
          <w:sz w:val="18"/>
          <w:szCs w:val="18"/>
        </w:rPr>
      </w:pPr>
    </w:p>
    <w:p w:rsidR="00C6599D" w:rsidRDefault="00C6599D" w:rsidP="000756DB">
      <w:pPr>
        <w:ind w:left="0"/>
        <w:contextualSpacing/>
        <w:rPr>
          <w:rFonts w:asciiTheme="majorHAnsi" w:hAnsiTheme="majorHAnsi"/>
          <w:b/>
        </w:rPr>
      </w:pPr>
    </w:p>
    <w:p w:rsidR="000756DB" w:rsidRPr="000756DB" w:rsidRDefault="000756DB" w:rsidP="000756DB">
      <w:pPr>
        <w:ind w:left="0"/>
        <w:contextualSpacing/>
        <w:rPr>
          <w:rFonts w:asciiTheme="majorHAnsi" w:hAnsiTheme="majorHAnsi"/>
          <w:b/>
        </w:rPr>
      </w:pPr>
      <w:r w:rsidRPr="000756DB">
        <w:rPr>
          <w:rFonts w:asciiTheme="majorHAnsi" w:hAnsiTheme="majorHAnsi"/>
          <w:b/>
        </w:rPr>
        <w:t>Príklad č.4.</w:t>
      </w:r>
    </w:p>
    <w:p w:rsidR="000756DB" w:rsidRPr="000756DB" w:rsidRDefault="000756DB" w:rsidP="000756DB">
      <w:pPr>
        <w:ind w:left="0"/>
        <w:contextualSpacing/>
        <w:rPr>
          <w:rFonts w:asciiTheme="majorHAnsi" w:hAnsiTheme="majorHAnsi"/>
          <w:b/>
        </w:rPr>
      </w:pPr>
      <w:r w:rsidRPr="000756DB">
        <w:rPr>
          <w:rFonts w:asciiTheme="majorHAnsi" w:hAnsiTheme="majorHAnsi"/>
          <w:b/>
        </w:rPr>
        <w:t xml:space="preserve"> </w:t>
      </w:r>
      <w:r w:rsidRPr="000756DB">
        <w:rPr>
          <w:rFonts w:asciiTheme="majorHAnsi" w:hAnsiTheme="majorHAnsi"/>
          <w:b/>
          <w:sz w:val="18"/>
          <w:szCs w:val="18"/>
        </w:rPr>
        <w:t xml:space="preserve">– keby lekár v príklade č.3,pracoval na 100%. </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č.3:</w:t>
      </w:r>
      <w:r w:rsidRPr="000756DB">
        <w:rPr>
          <w:rFonts w:asciiTheme="majorHAnsi" w:hAnsiTheme="majorHAnsi"/>
          <w:sz w:val="18"/>
          <w:szCs w:val="18"/>
        </w:rPr>
        <w:t xml:space="preserve"> výpočet bonifikovaného objemu: (5.169 + 2.216) – 6.304 = 1.081,-EUR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č.4:</w:t>
      </w:r>
      <w:r w:rsidRPr="000756DB">
        <w:rPr>
          <w:rFonts w:asciiTheme="majorHAnsi" w:hAnsiTheme="majorHAnsi"/>
          <w:sz w:val="18"/>
          <w:szCs w:val="18"/>
        </w:rPr>
        <w:t xml:space="preserve"> výpočet výslednej úhrady poisťovne: 6.304 + (2 x 1.081) = </w:t>
      </w:r>
      <w:r w:rsidRPr="000756DB">
        <w:rPr>
          <w:rFonts w:asciiTheme="majorHAnsi" w:hAnsiTheme="majorHAnsi"/>
          <w:b/>
          <w:sz w:val="18"/>
          <w:szCs w:val="18"/>
        </w:rPr>
        <w:t>8.466,-EUR</w:t>
      </w:r>
      <w:r w:rsidRPr="000756DB">
        <w:rPr>
          <w:rFonts w:asciiTheme="majorHAnsi" w:hAnsiTheme="majorHAnsi"/>
          <w:sz w:val="18"/>
          <w:szCs w:val="18"/>
        </w:rPr>
        <w:t xml:space="preserve"> </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POZNÁMKA:</w:t>
      </w:r>
      <w:r w:rsidRPr="000756DB">
        <w:rPr>
          <w:rFonts w:asciiTheme="majorHAnsi" w:hAnsiTheme="majorHAnsi"/>
          <w:sz w:val="18"/>
          <w:szCs w:val="18"/>
        </w:rPr>
        <w:t xml:space="preserve"> Je potrebné si všimnúť, že v prípade „optimálneho“ nastavenia je výnos ambulancie lepší, ako v prípade „výhodného nastavenia, ak ambulancia pracuje na 100%. Lekár má za lepšiu kapitáciu isté peniaze, ale menej peňazí. Kľúčové je navýšenie objemu výkonovej bonifikácie.</w:t>
      </w: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b/>
        </w:rPr>
      </w:pPr>
      <w:r w:rsidRPr="000756DB">
        <w:rPr>
          <w:rFonts w:asciiTheme="majorHAnsi" w:hAnsiTheme="majorHAnsi"/>
          <w:b/>
        </w:rPr>
        <w:t>Príklad č.5.</w:t>
      </w:r>
    </w:p>
    <w:p w:rsidR="000756DB" w:rsidRPr="000756DB" w:rsidRDefault="000756DB" w:rsidP="000756DB">
      <w:pPr>
        <w:ind w:left="0"/>
        <w:contextualSpacing/>
        <w:rPr>
          <w:rFonts w:asciiTheme="majorHAnsi" w:hAnsiTheme="majorHAnsi"/>
          <w:b/>
          <w:sz w:val="18"/>
          <w:szCs w:val="18"/>
        </w:rPr>
      </w:pPr>
      <w:r w:rsidRPr="000756DB">
        <w:rPr>
          <w:rFonts w:asciiTheme="majorHAnsi" w:hAnsiTheme="majorHAnsi"/>
          <w:b/>
          <w:sz w:val="18"/>
          <w:szCs w:val="18"/>
        </w:rPr>
        <w:t xml:space="preserve"> – keď sa nedosiahne zmluvne dohodnutá hranica výkonovo-kapitačného pomeru, od ktorej sa úhrada za výkon bonifikuje. </w:t>
      </w: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PZS má 2.200 pacientov a kapitáciu ................................................................................................................................ 6.600,-EUR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PZS realizoval výkony za .................................................................................................................................................. 1.400,-EUR</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sz w:val="18"/>
          <w:szCs w:val="18"/>
        </w:rPr>
        <w:t>Zmluvne dohodnutá hranica výkonovo-kapitačného pomeru, od ktorej sa úhrada za výkon bonifikuje................................ 20,0%</w:t>
      </w:r>
    </w:p>
    <w:p w:rsidR="000756DB" w:rsidRPr="000756DB" w:rsidRDefault="000756DB" w:rsidP="000756DB">
      <w:pPr>
        <w:pBdr>
          <w:bottom w:val="single" w:sz="6" w:space="1" w:color="auto"/>
        </w:pBd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 xml:space="preserve">Krok č.1: </w:t>
      </w:r>
      <w:r w:rsidRPr="000756DB">
        <w:rPr>
          <w:rFonts w:asciiTheme="majorHAnsi" w:hAnsiTheme="majorHAnsi"/>
          <w:sz w:val="18"/>
          <w:szCs w:val="18"/>
        </w:rPr>
        <w:t>výpočet dosiahnutého výkonovo-kapitačného pomeru: 1.400 / 8.000 = 0,175</w:t>
      </w:r>
    </w:p>
    <w:p w:rsidR="000756DB" w:rsidRPr="000756DB" w:rsidRDefault="000756DB" w:rsidP="000756DB">
      <w:pPr>
        <w:ind w:left="0"/>
        <w:contextualSpacing/>
        <w:rPr>
          <w:rFonts w:asciiTheme="majorHAnsi" w:hAnsiTheme="majorHAnsi"/>
          <w:sz w:val="18"/>
          <w:szCs w:val="18"/>
        </w:rPr>
      </w:pPr>
      <w:r w:rsidRPr="000756DB">
        <w:rPr>
          <w:rFonts w:asciiTheme="majorHAnsi" w:hAnsiTheme="majorHAnsi"/>
          <w:b/>
          <w:sz w:val="18"/>
          <w:szCs w:val="18"/>
        </w:rPr>
        <w:t>Krok č.2:</w:t>
      </w:r>
      <w:r w:rsidRPr="000756DB">
        <w:rPr>
          <w:rFonts w:asciiTheme="majorHAnsi" w:hAnsiTheme="majorHAnsi"/>
          <w:sz w:val="18"/>
          <w:szCs w:val="18"/>
        </w:rPr>
        <w:t xml:space="preserve"> nebol dosiahnutý dohodnutý výkonovo-kapitačný pomer pre výkonovú bonifikáciu, preto výsledná úhrada poisťovne je: 6.600 + 1.400 = 8.000,-EUR</w:t>
      </w:r>
    </w:p>
    <w:p w:rsidR="000756DB" w:rsidRPr="000756DB" w:rsidRDefault="000756DB" w:rsidP="000756DB">
      <w:pPr>
        <w:ind w:left="0"/>
        <w:contextualSpacing/>
        <w:rPr>
          <w:rFonts w:asciiTheme="majorHAnsi" w:hAnsiTheme="majorHAnsi"/>
          <w:b/>
        </w:rPr>
      </w:pPr>
    </w:p>
    <w:p w:rsidR="000756DB" w:rsidRPr="000756DB" w:rsidRDefault="000756DB" w:rsidP="000756DB">
      <w:pPr>
        <w:ind w:left="0"/>
        <w:contextualSpacing/>
        <w:rPr>
          <w:rFonts w:asciiTheme="majorHAnsi" w:hAnsiTheme="majorHAnsi"/>
        </w:rPr>
      </w:pPr>
      <w:r w:rsidRPr="000756DB">
        <w:rPr>
          <w:rFonts w:asciiTheme="majorHAnsi" w:hAnsiTheme="majorHAnsi"/>
          <w:b/>
        </w:rPr>
        <w:t>4.8. stanovenie dodatkovej paušálnej úhrady</w:t>
      </w:r>
      <w:r w:rsidRPr="000756DB">
        <w:rPr>
          <w:rFonts w:asciiTheme="majorHAnsi" w:hAnsiTheme="majorHAnsi"/>
        </w:rPr>
        <w:t xml:space="preserve"> (kapitačnej platby) ambulancie všeobecného lekára s 2 lekármi a najmenej 2 sestrami (alebo zdravotníckymi asistentmi) – stanoví sa dohodou so zdravotnou poisťovňou (integrovaná ambulancia)</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jc w:val="center"/>
        <w:rPr>
          <w:rFonts w:asciiTheme="majorHAnsi" w:hAnsiTheme="majorHAnsi"/>
          <w:b/>
        </w:rPr>
      </w:pPr>
      <w:r w:rsidRPr="000756DB">
        <w:rPr>
          <w:rFonts w:asciiTheme="majorHAnsi" w:hAnsiTheme="majorHAnsi"/>
          <w:b/>
        </w:rPr>
        <w:t>V. ZÁVER</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5.1. ZVLD SR o.z. bude presadzovať</w:t>
      </w:r>
      <w:r w:rsidRPr="000756DB">
        <w:rPr>
          <w:rFonts w:asciiTheme="majorHAnsi" w:hAnsiTheme="majorHAnsi"/>
        </w:rPr>
        <w:t xml:space="preserve"> tento strategicky formulovaný spôsob platobného mechanizmu pre ambulancie VLD, ktoré sú samostatným segmentom ambulantnej zdravotnej starostlivosti, v záujme transparentného vynakladania verejných zdrojov na zdravotnú starostlivosť.</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b/>
        </w:rPr>
        <w:t>5.2. v čase do dosiahnutia zhody so zdravotnými poisťovňami</w:t>
      </w:r>
      <w:r w:rsidRPr="000756DB">
        <w:rPr>
          <w:rFonts w:asciiTheme="majorHAnsi" w:hAnsiTheme="majorHAnsi"/>
        </w:rPr>
        <w:t xml:space="preserve"> na akceptácii predkladaného platobného mechanizmu, ho budeme pri rokovaniach so zdravotnými poisťovňami aplikovať ako referenčný spôsob financovania prvého kontaktu z verejných zdrojov z pohľadu dosahovania konkrétnej výšky príjmov za poskytovanú zdravotnú starostlivosť.</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rPr>
      </w:pPr>
      <w:r w:rsidRPr="000756DB">
        <w:rPr>
          <w:rFonts w:asciiTheme="majorHAnsi" w:hAnsiTheme="majorHAnsi"/>
        </w:rPr>
        <w:t>5.3. ZVLD SR o.z. sa od svojho vzniku definuje ako jediné záujmové združenie VLD, ktoré je sústredené výlučne na vyjednávanie o zmluvných podmienkach úhrad VLD za zdravotnú starostlivosť v zdravotných poisťovniach a iných organizáciách, ktoré v zmluvnom vzťahu s VLD financuj svoj dopyt po službách  VLD súvisiacich so zdravotnou starostlivosťou z verejných zdrojov.</w:t>
      </w:r>
    </w:p>
    <w:p w:rsidR="000756DB" w:rsidRPr="000756DB" w:rsidRDefault="000756DB" w:rsidP="000756DB">
      <w:pPr>
        <w:ind w:left="0"/>
        <w:contextualSpacing/>
        <w:rPr>
          <w:rFonts w:asciiTheme="majorHAnsi" w:hAnsiTheme="majorHAnsi"/>
        </w:rPr>
      </w:pPr>
    </w:p>
    <w:p w:rsidR="000756DB" w:rsidRPr="000756DB" w:rsidRDefault="000756DB" w:rsidP="000756DB">
      <w:pPr>
        <w:ind w:left="0"/>
        <w:contextualSpacing/>
        <w:rPr>
          <w:rFonts w:asciiTheme="majorHAnsi" w:hAnsiTheme="majorHAnsi"/>
          <w:b/>
        </w:rPr>
      </w:pPr>
      <w:r w:rsidRPr="000756DB">
        <w:rPr>
          <w:rFonts w:asciiTheme="majorHAnsi" w:hAnsiTheme="majorHAnsi"/>
          <w:b/>
        </w:rPr>
        <w:t>5.4. ZVLD SR o.z. sa týmto dokumentom zreteľne vymedzuje voči iným organizáciám zastupujúcim VLD v zmluvných vzťahoch so zdravotnými poisťovňami a zdôrazňuje, že vrstvenie kompromisov medzi jednotlivými segmentmi zdravotnej starostlivosti v priebehu vyjednávania zmluvných podmienok poškodzuje záujem VLD na čo najlepšom výsledku zmluvných dojednaní.</w:t>
      </w:r>
    </w:p>
    <w:p w:rsidR="00413740" w:rsidRDefault="00413740" w:rsidP="000756DB">
      <w:pPr>
        <w:ind w:left="0" w:right="-6"/>
      </w:pPr>
    </w:p>
    <w:sectPr w:rsidR="00413740" w:rsidSect="00D3510F">
      <w:headerReference w:type="even" r:id="rId6"/>
      <w:headerReference w:type="default" r:id="rId7"/>
      <w:headerReference w:type="first" r:id="rId8"/>
      <w:pgSz w:w="11900" w:h="16840"/>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14" w:rsidRDefault="00460214" w:rsidP="00AF768A">
      <w:r>
        <w:separator/>
      </w:r>
    </w:p>
  </w:endnote>
  <w:endnote w:type="continuationSeparator" w:id="1">
    <w:p w:rsidR="00460214" w:rsidRDefault="00460214" w:rsidP="00AF768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14" w:rsidRDefault="00460214" w:rsidP="00AF768A">
      <w:r>
        <w:separator/>
      </w:r>
    </w:p>
  </w:footnote>
  <w:footnote w:type="continuationSeparator" w:id="1">
    <w:p w:rsidR="00460214" w:rsidRDefault="00460214"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E1" w:rsidRDefault="00280A5A">
    <w:pPr>
      <w:pStyle w:val="Hlavika"/>
    </w:pPr>
    <w:r w:rsidRPr="00280A5A">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E1" w:rsidRDefault="00280A5A">
    <w:pPr>
      <w:pStyle w:val="Hlavika"/>
    </w:pPr>
    <w:r w:rsidRPr="00280A5A">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E1" w:rsidRDefault="00280A5A">
    <w:pPr>
      <w:pStyle w:val="Hlavika"/>
    </w:pPr>
    <w:r w:rsidRPr="00280A5A">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YF7nqripVy+sHu8BB/e01VN+0eY=" w:salt="4Qz1Tmcr5+3t2v38HVslmw=="/>
  <w:defaultTabStop w:val="708"/>
  <w:hyphenationZone w:val="425"/>
  <w:characterSpacingControl w:val="doNotCompress"/>
  <w:savePreviewPicture/>
  <w:hdrShapeDefaults>
    <o:shapedefaults v:ext="edit" spidmax="15362"/>
    <o:shapelayout v:ext="edit">
      <o:idmap v:ext="edit" data="1"/>
    </o:shapelayout>
  </w:hdrShapeDefaults>
  <w:footnotePr>
    <w:footnote w:id="0"/>
    <w:footnote w:id="1"/>
  </w:footnotePr>
  <w:endnotePr>
    <w:endnote w:id="0"/>
    <w:endnote w:id="1"/>
  </w:endnotePr>
  <w:compat>
    <w:useFELayout/>
  </w:compat>
  <w:rsids>
    <w:rsidRoot w:val="00AF768A"/>
    <w:rsid w:val="000756DB"/>
    <w:rsid w:val="000818E7"/>
    <w:rsid w:val="00092A90"/>
    <w:rsid w:val="000A7831"/>
    <w:rsid w:val="00113609"/>
    <w:rsid w:val="001463EE"/>
    <w:rsid w:val="001C1654"/>
    <w:rsid w:val="00280A5A"/>
    <w:rsid w:val="00316FC8"/>
    <w:rsid w:val="003B40BE"/>
    <w:rsid w:val="003D4D60"/>
    <w:rsid w:val="00413740"/>
    <w:rsid w:val="00460214"/>
    <w:rsid w:val="00472120"/>
    <w:rsid w:val="004A6B8B"/>
    <w:rsid w:val="004C1A43"/>
    <w:rsid w:val="005533E4"/>
    <w:rsid w:val="00593FE1"/>
    <w:rsid w:val="005A7895"/>
    <w:rsid w:val="005E1F29"/>
    <w:rsid w:val="00620F52"/>
    <w:rsid w:val="006345D1"/>
    <w:rsid w:val="007609E7"/>
    <w:rsid w:val="007D51CD"/>
    <w:rsid w:val="0082664E"/>
    <w:rsid w:val="0089512D"/>
    <w:rsid w:val="008A584B"/>
    <w:rsid w:val="00922A38"/>
    <w:rsid w:val="009B0556"/>
    <w:rsid w:val="00A46BA7"/>
    <w:rsid w:val="00AC5636"/>
    <w:rsid w:val="00AF768A"/>
    <w:rsid w:val="00B92CD4"/>
    <w:rsid w:val="00C06A3A"/>
    <w:rsid w:val="00C308CD"/>
    <w:rsid w:val="00C34C6E"/>
    <w:rsid w:val="00C56009"/>
    <w:rsid w:val="00C6599D"/>
    <w:rsid w:val="00CA771E"/>
    <w:rsid w:val="00D3510F"/>
    <w:rsid w:val="00D97F54"/>
    <w:rsid w:val="00E25FE3"/>
    <w:rsid w:val="00E55334"/>
    <w:rsid w:val="00EA0F27"/>
    <w:rsid w:val="00EF2F70"/>
    <w:rsid w:val="00F047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56DB"/>
    <w:pPr>
      <w:spacing w:after="200"/>
      <w:ind w:left="425" w:right="-289"/>
    </w:pPr>
    <w:rPr>
      <w:rFonts w:eastAsiaTheme="minorHAnsi"/>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PtaChar">
    <w:name w:val="Päta Char"/>
    <w:basedOn w:val="Predvolenpsmoodseku"/>
    <w:link w:val="Pta"/>
    <w:uiPriority w:val="99"/>
    <w:rsid w:val="00AF768A"/>
  </w:style>
  <w:style w:type="paragraph" w:styleId="Textbubliny">
    <w:name w:val="Balloon Text"/>
    <w:basedOn w:val="Normlny"/>
    <w:link w:val="TextbublinyChar"/>
    <w:uiPriority w:val="99"/>
    <w:semiHidden/>
    <w:unhideWhenUsed/>
    <w:rsid w:val="00593FE1"/>
    <w:pPr>
      <w:spacing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593FE1"/>
    <w:rPr>
      <w:rFonts w:ascii="Lucida Grande CE" w:eastAsiaTheme="minorHAnsi" w:hAnsi="Lucida Grande CE" w:cs="Lucida Grande CE"/>
      <w:sz w:val="18"/>
      <w:szCs w:val="18"/>
      <w:lang w:val="sk-SK" w:eastAsia="en-US"/>
    </w:rPr>
  </w:style>
  <w:style w:type="table" w:styleId="Mriekatabuky">
    <w:name w:val="Table Grid"/>
    <w:basedOn w:val="Normlnatabuka"/>
    <w:uiPriority w:val="59"/>
    <w:rsid w:val="000756DB"/>
    <w:pPr>
      <w:ind w:left="425" w:right="-289"/>
    </w:pPr>
    <w:rPr>
      <w:rFonts w:eastAsiaTheme="minorHAnsi"/>
      <w:sz w:val="22"/>
      <w:szCs w:val="22"/>
      <w:lang w:val="sk-SK"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E1"/>
    <w:pPr>
      <w:spacing w:after="200"/>
      <w:ind w:left="425" w:right="-289"/>
    </w:pPr>
    <w:rPr>
      <w:rFonts w:eastAsiaTheme="minorHAnsi"/>
      <w:sz w:val="22"/>
      <w:szCs w:val="22"/>
      <w:lang w:val="sk-S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HeaderChar">
    <w:name w:val="Header Char"/>
    <w:basedOn w:val="DefaultParagraphFont"/>
    <w:link w:val="Header"/>
    <w:uiPriority w:val="99"/>
    <w:rsid w:val="00AF768A"/>
  </w:style>
  <w:style w:type="paragraph" w:styleId="Footer">
    <w:name w:val="footer"/>
    <w:basedOn w:val="Normal"/>
    <w:link w:val="FooterChar"/>
    <w:uiPriority w:val="99"/>
    <w:unhideWhenUsed/>
    <w:rsid w:val="00AF768A"/>
    <w:pPr>
      <w:tabs>
        <w:tab w:val="center" w:pos="4536"/>
        <w:tab w:val="right" w:pos="9072"/>
      </w:tabs>
      <w:spacing w:after="0"/>
      <w:ind w:left="0" w:right="0"/>
    </w:pPr>
    <w:rPr>
      <w:rFonts w:eastAsiaTheme="minorEastAsia"/>
      <w:sz w:val="24"/>
      <w:szCs w:val="24"/>
      <w:lang w:val="cs-CZ" w:eastAsia="de-DE"/>
    </w:rPr>
  </w:style>
  <w:style w:type="character" w:customStyle="1" w:styleId="FooterChar">
    <w:name w:val="Footer Char"/>
    <w:basedOn w:val="DefaultParagraphFont"/>
    <w:link w:val="Footer"/>
    <w:uiPriority w:val="99"/>
    <w:rsid w:val="00AF768A"/>
  </w:style>
  <w:style w:type="paragraph" w:styleId="BalloonText">
    <w:name w:val="Balloon Text"/>
    <w:basedOn w:val="Normal"/>
    <w:link w:val="BalloonTextChar"/>
    <w:uiPriority w:val="99"/>
    <w:semiHidden/>
    <w:unhideWhenUsed/>
    <w:rsid w:val="00593FE1"/>
    <w:pPr>
      <w:spacing w:after="0"/>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93FE1"/>
    <w:rPr>
      <w:rFonts w:ascii="Lucida Grande CE" w:eastAsiaTheme="minorHAnsi" w:hAnsi="Lucida Grande CE" w:cs="Lucida Grande CE"/>
      <w:sz w:val="18"/>
      <w:szCs w:val="18"/>
      <w:lang w:val="sk-SK"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2326</Words>
  <Characters>13263</Characters>
  <Application>Microsoft Office Word</Application>
  <DocSecurity>8</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5</cp:revision>
  <dcterms:created xsi:type="dcterms:W3CDTF">2018-04-24T03:28:00Z</dcterms:created>
  <dcterms:modified xsi:type="dcterms:W3CDTF">2018-04-26T19:01:00Z</dcterms:modified>
</cp:coreProperties>
</file>